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5DF6" w14:textId="77777777" w:rsidR="0054520C" w:rsidRDefault="0054520C" w:rsidP="001F4F64">
      <w:pPr>
        <w:pStyle w:val="Title"/>
      </w:pPr>
    </w:p>
    <w:p w14:paraId="5FEDC7B5" w14:textId="1CFB8CA6" w:rsidR="0054520C" w:rsidRDefault="0054520C" w:rsidP="0054520C">
      <w:pPr>
        <w:pStyle w:val="Title"/>
        <w:jc w:val="center"/>
      </w:pPr>
      <w:r>
        <w:rPr>
          <w:noProof/>
        </w:rPr>
        <w:drawing>
          <wp:inline distT="0" distB="0" distL="0" distR="0" wp14:anchorId="794F7865" wp14:editId="78CAAE74">
            <wp:extent cx="3362325" cy="514350"/>
            <wp:effectExtent l="0" t="0" r="9525"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514350"/>
                    </a:xfrm>
                    <a:prstGeom prst="rect">
                      <a:avLst/>
                    </a:prstGeom>
                    <a:noFill/>
                    <a:ln>
                      <a:noFill/>
                    </a:ln>
                  </pic:spPr>
                </pic:pic>
              </a:graphicData>
            </a:graphic>
          </wp:inline>
        </w:drawing>
      </w:r>
    </w:p>
    <w:p w14:paraId="42B6394A" w14:textId="77777777" w:rsidR="0054520C" w:rsidRDefault="0054520C" w:rsidP="001F4F64">
      <w:pPr>
        <w:pStyle w:val="Title"/>
      </w:pPr>
    </w:p>
    <w:p w14:paraId="715D5378" w14:textId="0E8C5C2C" w:rsidR="0054520C" w:rsidRDefault="0054520C" w:rsidP="001F4F64">
      <w:pPr>
        <w:pStyle w:val="Title"/>
      </w:pPr>
    </w:p>
    <w:p w14:paraId="39B8B058" w14:textId="77777777" w:rsidR="0054520C" w:rsidRPr="0054520C" w:rsidRDefault="0054520C" w:rsidP="0054520C"/>
    <w:p w14:paraId="0209AB0C" w14:textId="77777777" w:rsidR="001E5024" w:rsidRDefault="00272BE7" w:rsidP="00272BE7">
      <w:pPr>
        <w:pStyle w:val="Title"/>
        <w:jc w:val="center"/>
        <w:rPr>
          <w:b/>
          <w:bCs/>
          <w:color w:val="000000" w:themeColor="text1"/>
        </w:rPr>
      </w:pPr>
      <w:r w:rsidRPr="00272BE7">
        <w:rPr>
          <w:b/>
          <w:bCs/>
          <w:color w:val="000000" w:themeColor="text1"/>
        </w:rPr>
        <w:t>Child</w:t>
      </w:r>
      <w:r w:rsidR="001E5024">
        <w:rPr>
          <w:b/>
          <w:bCs/>
          <w:color w:val="000000" w:themeColor="text1"/>
        </w:rPr>
        <w:t>ren</w:t>
      </w:r>
      <w:r w:rsidRPr="00272BE7">
        <w:rPr>
          <w:b/>
          <w:bCs/>
          <w:color w:val="000000" w:themeColor="text1"/>
        </w:rPr>
        <w:t xml:space="preserve"> </w:t>
      </w:r>
      <w:r w:rsidR="001E5024">
        <w:rPr>
          <w:b/>
          <w:bCs/>
          <w:color w:val="000000" w:themeColor="text1"/>
        </w:rPr>
        <w:t>first</w:t>
      </w:r>
    </w:p>
    <w:p w14:paraId="0C47576A" w14:textId="450593F3" w:rsidR="00272BE7" w:rsidRPr="00272BE7" w:rsidRDefault="001E5024" w:rsidP="00272BE7">
      <w:pPr>
        <w:pStyle w:val="Title"/>
        <w:jc w:val="center"/>
        <w:rPr>
          <w:b/>
          <w:bCs/>
          <w:color w:val="000000" w:themeColor="text1"/>
        </w:rPr>
      </w:pPr>
      <w:r>
        <w:rPr>
          <w:b/>
          <w:bCs/>
          <w:color w:val="000000" w:themeColor="text1"/>
        </w:rPr>
        <w:t>sectoral implementation plan</w:t>
      </w:r>
    </w:p>
    <w:p w14:paraId="0D8F36E3" w14:textId="79A29DAF" w:rsidR="0068265F" w:rsidRPr="0054520C" w:rsidRDefault="00272BE7" w:rsidP="00272BE7">
      <w:pPr>
        <w:pStyle w:val="Title"/>
        <w:jc w:val="center"/>
        <w:rPr>
          <w:b/>
          <w:bCs/>
          <w:color w:val="000000" w:themeColor="text1"/>
        </w:rPr>
      </w:pPr>
      <w:r w:rsidRPr="00272BE7">
        <w:rPr>
          <w:b/>
          <w:bCs/>
          <w:color w:val="000000" w:themeColor="text1"/>
        </w:rPr>
        <w:t>August 2020</w:t>
      </w:r>
    </w:p>
    <w:p w14:paraId="4A395471" w14:textId="77777777" w:rsidR="0068265F" w:rsidRPr="00A7180D" w:rsidRDefault="0068265F">
      <w:pPr>
        <w:pStyle w:val="Header"/>
        <w:jc w:val="both"/>
        <w:rPr>
          <w:rFonts w:cs="Verdana"/>
        </w:rPr>
      </w:pPr>
    </w:p>
    <w:p w14:paraId="146952D0" w14:textId="77777777" w:rsidR="0068265F" w:rsidRPr="00A7180D" w:rsidRDefault="0068265F">
      <w:pPr>
        <w:pStyle w:val="Header"/>
        <w:jc w:val="both"/>
        <w:rPr>
          <w:rFonts w:cs="Verdana"/>
          <w:b/>
          <w:bCs/>
        </w:rPr>
      </w:pPr>
      <w:bookmarkStart w:id="0" w:name="_GoBack"/>
      <w:bookmarkEnd w:id="0"/>
    </w:p>
    <w:p w14:paraId="279AAE49" w14:textId="77777777" w:rsidR="0068265F" w:rsidRPr="00A7180D" w:rsidRDefault="0068265F">
      <w:pPr>
        <w:pStyle w:val="Header"/>
        <w:jc w:val="both"/>
        <w:rPr>
          <w:rFonts w:cs="Verdana"/>
          <w:b/>
          <w:bCs/>
        </w:rPr>
      </w:pPr>
    </w:p>
    <w:p w14:paraId="741CED40" w14:textId="77777777" w:rsidR="0068265F" w:rsidRPr="00A7180D" w:rsidRDefault="0068265F">
      <w:pPr>
        <w:pStyle w:val="Header"/>
        <w:jc w:val="both"/>
        <w:rPr>
          <w:rFonts w:cs="Verdana"/>
          <w:b/>
          <w:bCs/>
        </w:rPr>
      </w:pPr>
    </w:p>
    <w:p w14:paraId="14C69C13" w14:textId="2946247D" w:rsidR="0068265F" w:rsidRPr="00A7180D" w:rsidRDefault="0068265F">
      <w:pPr>
        <w:pStyle w:val="Header"/>
        <w:jc w:val="both"/>
        <w:rPr>
          <w:rFonts w:cs="Verdana"/>
          <w:b/>
          <w:bCs/>
        </w:rPr>
      </w:pPr>
    </w:p>
    <w:p w14:paraId="225E4711" w14:textId="77777777" w:rsidR="0068265F" w:rsidRPr="00A7180D" w:rsidRDefault="0068265F">
      <w:pPr>
        <w:pStyle w:val="Header"/>
        <w:jc w:val="both"/>
        <w:rPr>
          <w:rFonts w:cs="Verdana"/>
          <w:b/>
          <w:bCs/>
        </w:rPr>
      </w:pPr>
    </w:p>
    <w:p w14:paraId="44B6809B" w14:textId="77777777" w:rsidR="0068265F" w:rsidRPr="00A7180D" w:rsidRDefault="0068265F">
      <w:pPr>
        <w:pStyle w:val="Header"/>
        <w:jc w:val="both"/>
        <w:rPr>
          <w:rFonts w:cs="Verdana"/>
          <w:b/>
          <w:bCs/>
        </w:rPr>
      </w:pPr>
    </w:p>
    <w:p w14:paraId="2870853D" w14:textId="77777777" w:rsidR="00FD41C8" w:rsidRPr="00A7180D" w:rsidRDefault="00FD41C8">
      <w:pPr>
        <w:pStyle w:val="Header"/>
        <w:jc w:val="both"/>
        <w:rPr>
          <w:rFonts w:cs="Verdana"/>
          <w:b/>
          <w:bCs/>
          <w:sz w:val="28"/>
          <w:szCs w:val="28"/>
        </w:rPr>
      </w:pPr>
    </w:p>
    <w:p w14:paraId="7FB44135" w14:textId="5C04B0BF" w:rsidR="0068265F" w:rsidRPr="007E0D87" w:rsidRDefault="00DF5063" w:rsidP="007E0D87">
      <w:pPr>
        <w:pStyle w:val="Subtitle"/>
        <w:rPr>
          <w:sz w:val="20"/>
        </w:rPr>
      </w:pPr>
      <w:r>
        <w:rPr>
          <w:b/>
          <w:color w:val="292733" w:themeColor="text2" w:themeShade="BF"/>
          <w:sz w:val="20"/>
        </w:rPr>
        <w:t>PUBLISHED</w:t>
      </w:r>
      <w:r w:rsidR="000564C1" w:rsidRPr="007E0D87">
        <w:rPr>
          <w:b/>
          <w:color w:val="292733" w:themeColor="text2" w:themeShade="BF"/>
          <w:sz w:val="20"/>
        </w:rPr>
        <w:t>:</w:t>
      </w:r>
      <w:r w:rsidR="00FD41C8" w:rsidRPr="007E0D87">
        <w:rPr>
          <w:sz w:val="20"/>
        </w:rPr>
        <w:tab/>
      </w:r>
      <w:r w:rsidR="00FD41C8" w:rsidRPr="007E0D87">
        <w:rPr>
          <w:sz w:val="20"/>
        </w:rPr>
        <w:tab/>
      </w:r>
      <w:r w:rsidR="00FD41C8" w:rsidRPr="007E0D87">
        <w:rPr>
          <w:sz w:val="20"/>
        </w:rPr>
        <w:tab/>
      </w:r>
      <w:r w:rsidR="004271C6">
        <w:rPr>
          <w:sz w:val="20"/>
        </w:rPr>
        <w:t>19</w:t>
      </w:r>
      <w:r w:rsidR="000564C1" w:rsidRPr="007E0D87">
        <w:rPr>
          <w:sz w:val="20"/>
        </w:rPr>
        <w:t xml:space="preserve"> </w:t>
      </w:r>
      <w:r w:rsidR="00272BE7">
        <w:rPr>
          <w:sz w:val="20"/>
        </w:rPr>
        <w:t>august</w:t>
      </w:r>
      <w:r w:rsidR="000564C1" w:rsidRPr="007E0D87">
        <w:rPr>
          <w:sz w:val="20"/>
        </w:rPr>
        <w:t xml:space="preserve"> 20</w:t>
      </w:r>
      <w:r>
        <w:rPr>
          <w:sz w:val="20"/>
        </w:rPr>
        <w:t>20</w:t>
      </w:r>
    </w:p>
    <w:p w14:paraId="671D7824" w14:textId="16087E3B" w:rsidR="007E0D87" w:rsidRPr="00DF5063" w:rsidRDefault="000564C1" w:rsidP="007E0D87">
      <w:pPr>
        <w:pStyle w:val="Subtitle"/>
        <w:rPr>
          <w:color w:val="FFFFFF" w:themeColor="background1"/>
          <w:sz w:val="20"/>
        </w:rPr>
        <w:sectPr w:rsidR="007E0D87" w:rsidRPr="00DF5063" w:rsidSect="0063531D">
          <w:headerReference w:type="default" r:id="rId10"/>
          <w:pgSz w:w="11906" w:h="16838"/>
          <w:pgMar w:top="1440" w:right="1800" w:bottom="1440" w:left="1800" w:header="720" w:footer="720" w:gutter="0"/>
          <w:pgBorders w:display="firstPage" w:offsetFrom="page">
            <w:top w:val="threeDEngrave" w:sz="48" w:space="24" w:color="A9A7BB" w:themeColor="text2" w:themeTint="66"/>
            <w:left w:val="threeDEngrave" w:sz="48" w:space="24" w:color="A9A7BB" w:themeColor="text2" w:themeTint="66"/>
            <w:bottom w:val="threeDEmboss" w:sz="48" w:space="24" w:color="A9A7BB" w:themeColor="text2" w:themeTint="66"/>
            <w:right w:val="threeDEmboss" w:sz="48" w:space="24" w:color="A9A7BB" w:themeColor="text2" w:themeTint="66"/>
          </w:pgBorders>
          <w:cols w:space="720"/>
          <w:titlePg/>
          <w:docGrid w:linePitch="360"/>
        </w:sectPr>
      </w:pPr>
      <w:r w:rsidRPr="00DF5063">
        <w:rPr>
          <w:b/>
          <w:color w:val="FFFFFF" w:themeColor="background1"/>
          <w:sz w:val="20"/>
        </w:rPr>
        <w:t>Author</w:t>
      </w:r>
      <w:r w:rsidR="00127919" w:rsidRPr="00DF5063">
        <w:rPr>
          <w:b/>
          <w:color w:val="FFFFFF" w:themeColor="background1"/>
          <w:sz w:val="20"/>
        </w:rPr>
        <w:t>s</w:t>
      </w:r>
      <w:r w:rsidRPr="00DF5063">
        <w:rPr>
          <w:b/>
          <w:color w:val="FFFFFF" w:themeColor="background1"/>
          <w:sz w:val="20"/>
        </w:rPr>
        <w:t>:</w:t>
      </w:r>
      <w:r w:rsidRPr="00DF5063">
        <w:rPr>
          <w:color w:val="FFFFFF" w:themeColor="background1"/>
          <w:sz w:val="20"/>
        </w:rPr>
        <w:t xml:space="preserve"> </w:t>
      </w:r>
      <w:r w:rsidRPr="00DF5063">
        <w:rPr>
          <w:color w:val="FFFFFF" w:themeColor="background1"/>
          <w:sz w:val="20"/>
        </w:rPr>
        <w:tab/>
      </w:r>
      <w:r w:rsidR="001F4F64" w:rsidRPr="00DF5063">
        <w:rPr>
          <w:color w:val="FFFFFF" w:themeColor="background1"/>
          <w:sz w:val="20"/>
        </w:rPr>
        <w:tab/>
      </w:r>
      <w:r w:rsidR="00FD41C8" w:rsidRPr="00DF5063">
        <w:rPr>
          <w:color w:val="FFFFFF" w:themeColor="background1"/>
          <w:sz w:val="20"/>
        </w:rPr>
        <w:t>Paddy O’Keeffe</w:t>
      </w:r>
    </w:p>
    <w:p w14:paraId="64A3327E" w14:textId="77777777" w:rsidR="001E5024" w:rsidRDefault="001E5024" w:rsidP="001E5024">
      <w:pPr>
        <w:rPr>
          <w:rFonts w:cs="Verdana"/>
          <w:sz w:val="24"/>
          <w:szCs w:val="24"/>
        </w:rPr>
      </w:pPr>
    </w:p>
    <w:p w14:paraId="797C8773" w14:textId="77777777" w:rsidR="001E5024" w:rsidRDefault="001E5024" w:rsidP="001E5024">
      <w:pPr>
        <w:rPr>
          <w:rFonts w:cs="Verdana"/>
          <w:sz w:val="24"/>
          <w:szCs w:val="24"/>
        </w:rPr>
      </w:pPr>
    </w:p>
    <w:p w14:paraId="3F265E0C" w14:textId="0A2B9BE9" w:rsidR="000500A6" w:rsidRPr="001E5024" w:rsidRDefault="001E5024" w:rsidP="001E5024">
      <w:pPr>
        <w:jc w:val="center"/>
        <w:rPr>
          <w:rFonts w:cs="Verdana"/>
          <w:b/>
          <w:sz w:val="28"/>
          <w:szCs w:val="28"/>
        </w:rPr>
      </w:pPr>
      <w:r w:rsidRPr="001E5024">
        <w:rPr>
          <w:rFonts w:cs="Verdana"/>
          <w:b/>
          <w:sz w:val="28"/>
          <w:szCs w:val="28"/>
        </w:rPr>
        <w:t>Forward by the Chairperson of the Tax Appeals Commission</w:t>
      </w:r>
    </w:p>
    <w:p w14:paraId="3F970C3A" w14:textId="77777777" w:rsidR="001E5024" w:rsidRDefault="001E5024" w:rsidP="001E5024">
      <w:pPr>
        <w:spacing w:line="360" w:lineRule="auto"/>
        <w:jc w:val="both"/>
        <w:rPr>
          <w:rFonts w:eastAsia="Calibri" w:cstheme="minorHAnsi"/>
          <w:sz w:val="24"/>
          <w:szCs w:val="24"/>
          <w:lang w:eastAsia="en-US"/>
        </w:rPr>
      </w:pPr>
    </w:p>
    <w:p w14:paraId="07502D60" w14:textId="7B4BB7E9" w:rsidR="001E5024" w:rsidRPr="001E5024" w:rsidRDefault="001E5024" w:rsidP="001E5024">
      <w:pPr>
        <w:spacing w:line="360" w:lineRule="auto"/>
        <w:jc w:val="both"/>
        <w:rPr>
          <w:rFonts w:eastAsia="Calibri" w:cstheme="minorHAnsi"/>
          <w:sz w:val="24"/>
          <w:szCs w:val="24"/>
          <w:lang w:eastAsia="en-US"/>
        </w:rPr>
      </w:pPr>
      <w:r w:rsidRPr="001E5024">
        <w:rPr>
          <w:rFonts w:eastAsia="Calibri" w:cstheme="minorHAnsi"/>
          <w:sz w:val="24"/>
          <w:szCs w:val="24"/>
          <w:lang w:eastAsia="en-US"/>
        </w:rPr>
        <w:t xml:space="preserve">I am pleased to publish this Sectoral Implementation Plan for the </w:t>
      </w:r>
      <w:r>
        <w:rPr>
          <w:rFonts w:eastAsia="Calibri" w:cstheme="minorHAnsi"/>
          <w:sz w:val="24"/>
          <w:szCs w:val="24"/>
          <w:lang w:eastAsia="en-US"/>
        </w:rPr>
        <w:t>Tax Appeals Commission</w:t>
      </w:r>
      <w:r w:rsidRPr="001E5024">
        <w:rPr>
          <w:rFonts w:eastAsia="Calibri" w:cstheme="minorHAnsi"/>
          <w:sz w:val="24"/>
          <w:szCs w:val="24"/>
          <w:lang w:eastAsia="en-US"/>
        </w:rPr>
        <w:t xml:space="preserve"> </w:t>
      </w:r>
      <w:r>
        <w:rPr>
          <w:rFonts w:eastAsia="Calibri" w:cstheme="minorHAnsi"/>
          <w:sz w:val="24"/>
          <w:szCs w:val="24"/>
          <w:lang w:eastAsia="en-US"/>
        </w:rPr>
        <w:t xml:space="preserve">(TAC) </w:t>
      </w:r>
      <w:r w:rsidRPr="001E5024">
        <w:rPr>
          <w:rFonts w:eastAsia="Calibri" w:cstheme="minorHAnsi"/>
          <w:sz w:val="24"/>
          <w:szCs w:val="24"/>
          <w:lang w:eastAsia="en-US"/>
        </w:rPr>
        <w:t xml:space="preserve">in accordance with section 27 of the Children First Act, 2015. This Plan sets out how </w:t>
      </w:r>
      <w:r>
        <w:rPr>
          <w:rFonts w:eastAsia="Calibri" w:cstheme="minorHAnsi"/>
          <w:sz w:val="24"/>
          <w:szCs w:val="24"/>
          <w:lang w:eastAsia="en-US"/>
        </w:rPr>
        <w:t>the Tax Appeals Commission</w:t>
      </w:r>
      <w:r w:rsidRPr="001E5024">
        <w:rPr>
          <w:rFonts w:eastAsia="Calibri" w:cstheme="minorHAnsi"/>
          <w:sz w:val="24"/>
          <w:szCs w:val="24"/>
          <w:lang w:eastAsia="en-US"/>
        </w:rPr>
        <w:t xml:space="preserve"> will ensure </w:t>
      </w:r>
      <w:r>
        <w:rPr>
          <w:rFonts w:eastAsia="Calibri" w:cstheme="minorHAnsi"/>
          <w:sz w:val="24"/>
          <w:szCs w:val="24"/>
          <w:lang w:eastAsia="en-US"/>
        </w:rPr>
        <w:t>its</w:t>
      </w:r>
      <w:r w:rsidRPr="001E5024">
        <w:rPr>
          <w:rFonts w:eastAsia="Calibri" w:cstheme="minorHAnsi"/>
          <w:sz w:val="24"/>
          <w:szCs w:val="24"/>
          <w:lang w:eastAsia="en-US"/>
        </w:rPr>
        <w:t xml:space="preserve"> compliance with the Act and with best practice as set out in Children First</w:t>
      </w:r>
      <w:r>
        <w:rPr>
          <w:rFonts w:eastAsia="Calibri" w:cstheme="minorHAnsi"/>
          <w:sz w:val="24"/>
          <w:szCs w:val="24"/>
          <w:lang w:eastAsia="en-US"/>
        </w:rPr>
        <w:t xml:space="preserve"> Act and with the Children First</w:t>
      </w:r>
      <w:r w:rsidRPr="001E5024">
        <w:rPr>
          <w:rFonts w:eastAsia="Calibri" w:cstheme="minorHAnsi"/>
          <w:sz w:val="24"/>
          <w:szCs w:val="24"/>
          <w:lang w:eastAsia="en-US"/>
        </w:rPr>
        <w:t xml:space="preserve"> National Guidance for the Protection and Welfare of Children.</w:t>
      </w:r>
    </w:p>
    <w:p w14:paraId="6FD27110" w14:textId="5ED16DD6" w:rsidR="001E5024" w:rsidRPr="001E5024" w:rsidRDefault="001E5024" w:rsidP="001E5024">
      <w:pPr>
        <w:spacing w:line="360" w:lineRule="auto"/>
        <w:jc w:val="both"/>
        <w:rPr>
          <w:rFonts w:eastAsia="Calibri" w:cstheme="minorHAnsi"/>
          <w:sz w:val="24"/>
          <w:szCs w:val="24"/>
          <w:lang w:eastAsia="en-US"/>
        </w:rPr>
      </w:pPr>
      <w:r w:rsidRPr="001E5024">
        <w:rPr>
          <w:rFonts w:eastAsia="Calibri" w:cstheme="minorHAnsi"/>
          <w:sz w:val="24"/>
          <w:szCs w:val="24"/>
          <w:lang w:eastAsia="en-US"/>
        </w:rPr>
        <w:t xml:space="preserve">The </w:t>
      </w:r>
      <w:r>
        <w:rPr>
          <w:rFonts w:eastAsia="Calibri" w:cstheme="minorHAnsi"/>
          <w:sz w:val="24"/>
          <w:szCs w:val="24"/>
          <w:lang w:eastAsia="en-US"/>
        </w:rPr>
        <w:t>TAC</w:t>
      </w:r>
      <w:r w:rsidRPr="001E5024">
        <w:rPr>
          <w:rFonts w:eastAsia="Calibri" w:cstheme="minorHAnsi"/>
          <w:sz w:val="24"/>
          <w:szCs w:val="24"/>
          <w:lang w:eastAsia="en-US"/>
        </w:rPr>
        <w:t xml:space="preserve"> provide</w:t>
      </w:r>
      <w:r>
        <w:rPr>
          <w:rFonts w:eastAsia="Calibri" w:cstheme="minorHAnsi"/>
          <w:sz w:val="24"/>
          <w:szCs w:val="24"/>
          <w:lang w:eastAsia="en-US"/>
        </w:rPr>
        <w:t>s</w:t>
      </w:r>
      <w:r w:rsidRPr="001E5024">
        <w:rPr>
          <w:rFonts w:eastAsia="Calibri" w:cstheme="minorHAnsi"/>
          <w:sz w:val="24"/>
          <w:szCs w:val="24"/>
          <w:lang w:eastAsia="en-US"/>
        </w:rPr>
        <w:t xml:space="preserve"> a relatively limited range of relevant services to children which are largely related to education and development initiatives. It is nevertheless essential that the principles and provisions of the Children First legislation and </w:t>
      </w:r>
      <w:r>
        <w:rPr>
          <w:rFonts w:eastAsia="Calibri" w:cstheme="minorHAnsi"/>
          <w:sz w:val="24"/>
          <w:szCs w:val="24"/>
          <w:lang w:eastAsia="en-US"/>
        </w:rPr>
        <w:t>National</w:t>
      </w:r>
      <w:r w:rsidRPr="001E5024">
        <w:rPr>
          <w:rFonts w:eastAsia="Calibri" w:cstheme="minorHAnsi"/>
          <w:sz w:val="24"/>
          <w:szCs w:val="24"/>
          <w:lang w:eastAsia="en-US"/>
        </w:rPr>
        <w:t xml:space="preserve"> Guidance is reflected and implemented effectively.</w:t>
      </w:r>
    </w:p>
    <w:p w14:paraId="2D1E8411" w14:textId="3A1ACA84" w:rsidR="001E5024" w:rsidRPr="001E5024" w:rsidRDefault="001E5024" w:rsidP="001E5024">
      <w:pPr>
        <w:spacing w:line="360" w:lineRule="auto"/>
        <w:jc w:val="both"/>
        <w:rPr>
          <w:rFonts w:eastAsia="Calibri" w:cstheme="minorHAnsi"/>
          <w:sz w:val="24"/>
          <w:szCs w:val="24"/>
          <w:lang w:eastAsia="en-US"/>
        </w:rPr>
      </w:pPr>
      <w:r w:rsidRPr="001E5024">
        <w:rPr>
          <w:rFonts w:eastAsia="Calibri" w:cstheme="minorHAnsi"/>
          <w:sz w:val="24"/>
          <w:szCs w:val="24"/>
          <w:lang w:eastAsia="en-US"/>
        </w:rPr>
        <w:t xml:space="preserve">As </w:t>
      </w:r>
      <w:r w:rsidR="00435FD0">
        <w:rPr>
          <w:rFonts w:eastAsia="Calibri" w:cstheme="minorHAnsi"/>
          <w:sz w:val="24"/>
          <w:szCs w:val="24"/>
          <w:lang w:eastAsia="en-US"/>
        </w:rPr>
        <w:t>Chairperson</w:t>
      </w:r>
      <w:r w:rsidRPr="001E5024">
        <w:rPr>
          <w:rFonts w:eastAsia="Calibri" w:cstheme="minorHAnsi"/>
          <w:sz w:val="24"/>
          <w:szCs w:val="24"/>
          <w:lang w:eastAsia="en-US"/>
        </w:rPr>
        <w:t xml:space="preserve">, I am committed to ensuring that child protection is implemented to the highest standard by the officials in </w:t>
      </w:r>
      <w:r w:rsidR="00435FD0">
        <w:rPr>
          <w:rFonts w:eastAsia="Calibri" w:cstheme="minorHAnsi"/>
          <w:sz w:val="24"/>
          <w:szCs w:val="24"/>
          <w:lang w:eastAsia="en-US"/>
        </w:rPr>
        <w:t>the TAC and this</w:t>
      </w:r>
      <w:r w:rsidRPr="001E5024">
        <w:rPr>
          <w:rFonts w:eastAsia="Calibri" w:cstheme="minorHAnsi"/>
          <w:sz w:val="24"/>
          <w:szCs w:val="24"/>
          <w:lang w:eastAsia="en-US"/>
        </w:rPr>
        <w:t xml:space="preserve"> Sectoral Plan will provide the framework to achieve this.</w:t>
      </w:r>
    </w:p>
    <w:p w14:paraId="06BD4EEE" w14:textId="77777777" w:rsidR="001E5024" w:rsidRPr="001E5024" w:rsidRDefault="001E5024" w:rsidP="001E5024">
      <w:pPr>
        <w:spacing w:line="360" w:lineRule="auto"/>
        <w:jc w:val="both"/>
        <w:rPr>
          <w:rFonts w:eastAsia="Calibri" w:cstheme="minorHAnsi"/>
          <w:sz w:val="24"/>
          <w:szCs w:val="24"/>
          <w:lang w:eastAsia="en-US"/>
        </w:rPr>
      </w:pPr>
    </w:p>
    <w:p w14:paraId="53328344" w14:textId="77777777" w:rsidR="00435FD0" w:rsidRDefault="00435FD0" w:rsidP="001E5024">
      <w:pPr>
        <w:spacing w:line="360" w:lineRule="auto"/>
        <w:contextualSpacing/>
        <w:jc w:val="both"/>
        <w:rPr>
          <w:rFonts w:eastAsia="Calibri" w:cstheme="minorHAnsi"/>
          <w:sz w:val="24"/>
          <w:szCs w:val="24"/>
          <w:lang w:eastAsia="en-US"/>
        </w:rPr>
      </w:pPr>
      <w:r>
        <w:rPr>
          <w:rFonts w:eastAsia="Calibri" w:cstheme="minorHAnsi"/>
          <w:sz w:val="24"/>
          <w:szCs w:val="24"/>
          <w:lang w:eastAsia="en-US"/>
        </w:rPr>
        <w:t>Marie-Claire Maney</w:t>
      </w:r>
    </w:p>
    <w:p w14:paraId="584ABC9C" w14:textId="599AEF60" w:rsidR="001E5024" w:rsidRDefault="00435FD0" w:rsidP="001E5024">
      <w:pPr>
        <w:spacing w:line="360" w:lineRule="auto"/>
        <w:contextualSpacing/>
        <w:jc w:val="both"/>
        <w:rPr>
          <w:rFonts w:eastAsia="Calibri" w:cstheme="minorHAnsi"/>
          <w:sz w:val="24"/>
          <w:szCs w:val="24"/>
          <w:lang w:eastAsia="en-US"/>
        </w:rPr>
      </w:pPr>
      <w:r>
        <w:rPr>
          <w:rFonts w:eastAsia="Calibri" w:cstheme="minorHAnsi"/>
          <w:sz w:val="24"/>
          <w:szCs w:val="24"/>
          <w:lang w:eastAsia="en-US"/>
        </w:rPr>
        <w:t>Chairperson</w:t>
      </w:r>
    </w:p>
    <w:p w14:paraId="15548DB3" w14:textId="77777777" w:rsidR="001E5024" w:rsidRDefault="001E5024" w:rsidP="001E5024">
      <w:pPr>
        <w:spacing w:line="360" w:lineRule="auto"/>
        <w:jc w:val="both"/>
        <w:rPr>
          <w:rFonts w:eastAsia="Calibri" w:cstheme="minorHAnsi"/>
          <w:sz w:val="24"/>
          <w:szCs w:val="24"/>
          <w:lang w:eastAsia="en-US"/>
        </w:rPr>
      </w:pPr>
    </w:p>
    <w:p w14:paraId="38D17173" w14:textId="77777777" w:rsidR="001E5024" w:rsidRDefault="001E5024" w:rsidP="001E5024">
      <w:pPr>
        <w:spacing w:line="360" w:lineRule="auto"/>
        <w:jc w:val="both"/>
        <w:rPr>
          <w:rFonts w:eastAsia="Calibri" w:cstheme="minorHAnsi"/>
          <w:sz w:val="24"/>
          <w:szCs w:val="24"/>
          <w:lang w:eastAsia="en-US"/>
        </w:rPr>
      </w:pPr>
    </w:p>
    <w:p w14:paraId="4294C2A8" w14:textId="1D6810CF" w:rsidR="00936221" w:rsidRDefault="00936221" w:rsidP="00936221">
      <w:pPr>
        <w:spacing w:line="360" w:lineRule="auto"/>
        <w:rPr>
          <w:rFonts w:eastAsia="Calibri" w:cstheme="minorHAnsi"/>
          <w:sz w:val="24"/>
          <w:szCs w:val="24"/>
          <w:lang w:eastAsia="en-US"/>
        </w:rPr>
      </w:pPr>
    </w:p>
    <w:p w14:paraId="3C599484" w14:textId="73CBA85E" w:rsidR="00435FD0" w:rsidRDefault="00435FD0" w:rsidP="00936221">
      <w:pPr>
        <w:spacing w:line="360" w:lineRule="auto"/>
        <w:rPr>
          <w:rFonts w:eastAsia="Calibri" w:cstheme="minorHAnsi"/>
          <w:sz w:val="24"/>
          <w:szCs w:val="24"/>
          <w:lang w:eastAsia="en-US"/>
        </w:rPr>
      </w:pPr>
    </w:p>
    <w:p w14:paraId="670709D1" w14:textId="51C693BC" w:rsidR="00435FD0" w:rsidRDefault="00435FD0" w:rsidP="00936221">
      <w:pPr>
        <w:spacing w:line="360" w:lineRule="auto"/>
        <w:rPr>
          <w:rFonts w:eastAsia="Calibri" w:cstheme="minorHAnsi"/>
          <w:sz w:val="24"/>
          <w:szCs w:val="24"/>
          <w:lang w:eastAsia="en-US"/>
        </w:rPr>
      </w:pPr>
    </w:p>
    <w:p w14:paraId="4A1E705C" w14:textId="23C3E746" w:rsidR="00435FD0" w:rsidRDefault="00435FD0" w:rsidP="00936221">
      <w:pPr>
        <w:spacing w:line="360" w:lineRule="auto"/>
        <w:rPr>
          <w:rFonts w:eastAsia="Calibri" w:cstheme="minorHAnsi"/>
          <w:sz w:val="24"/>
          <w:szCs w:val="24"/>
          <w:lang w:eastAsia="en-US"/>
        </w:rPr>
      </w:pPr>
    </w:p>
    <w:p w14:paraId="2D8C207A" w14:textId="77777777" w:rsidR="00435FD0" w:rsidRDefault="00435FD0" w:rsidP="00936221">
      <w:pPr>
        <w:spacing w:line="360" w:lineRule="auto"/>
        <w:rPr>
          <w:rFonts w:eastAsia="Calibri" w:cstheme="minorHAnsi"/>
          <w:sz w:val="24"/>
          <w:szCs w:val="24"/>
          <w:lang w:eastAsia="en-US"/>
        </w:rPr>
      </w:pPr>
    </w:p>
    <w:p w14:paraId="28805048" w14:textId="3094CD45" w:rsidR="00435FD0" w:rsidRDefault="00435FD0" w:rsidP="00936221">
      <w:pPr>
        <w:spacing w:line="360" w:lineRule="auto"/>
        <w:rPr>
          <w:rFonts w:eastAsia="Calibri" w:cstheme="minorHAnsi"/>
          <w:sz w:val="24"/>
          <w:szCs w:val="24"/>
          <w:lang w:eastAsia="en-US"/>
        </w:rPr>
      </w:pPr>
    </w:p>
    <w:p w14:paraId="57939466" w14:textId="77777777" w:rsidR="00435FD0" w:rsidRDefault="00435FD0" w:rsidP="00936221">
      <w:pPr>
        <w:spacing w:line="360" w:lineRule="auto"/>
        <w:rPr>
          <w:rFonts w:eastAsia="Calibri" w:cstheme="minorHAnsi"/>
          <w:sz w:val="24"/>
          <w:szCs w:val="24"/>
          <w:lang w:eastAsia="en-US"/>
        </w:rPr>
      </w:pPr>
    </w:p>
    <w:p w14:paraId="385A16F2" w14:textId="1796ADEE" w:rsidR="00127919" w:rsidRPr="00272BE7" w:rsidRDefault="00435FD0" w:rsidP="00127919">
      <w:pPr>
        <w:pStyle w:val="Heading1"/>
        <w:rPr>
          <w:b/>
          <w:bCs/>
          <w:sz w:val="24"/>
          <w:szCs w:val="24"/>
        </w:rPr>
      </w:pPr>
      <w:r>
        <w:rPr>
          <w:b/>
          <w:bCs/>
          <w:sz w:val="24"/>
          <w:szCs w:val="24"/>
        </w:rPr>
        <w:t>1</w:t>
      </w:r>
      <w:r w:rsidR="00B61843">
        <w:rPr>
          <w:b/>
          <w:bCs/>
          <w:sz w:val="24"/>
          <w:szCs w:val="24"/>
        </w:rPr>
        <w:t>.</w:t>
      </w:r>
      <w:r w:rsidR="00272BE7" w:rsidRPr="00272BE7">
        <w:rPr>
          <w:b/>
          <w:bCs/>
          <w:sz w:val="24"/>
          <w:szCs w:val="24"/>
        </w:rPr>
        <w:tab/>
      </w:r>
      <w:r>
        <w:rPr>
          <w:b/>
          <w:bCs/>
          <w:sz w:val="24"/>
          <w:szCs w:val="24"/>
        </w:rPr>
        <w:t>introduction</w:t>
      </w:r>
    </w:p>
    <w:p w14:paraId="11E7FA32" w14:textId="03494E50" w:rsidR="00435FD0" w:rsidRDefault="00435FD0" w:rsidP="004475DC">
      <w:pPr>
        <w:pStyle w:val="ListParagraph"/>
        <w:widowControl w:val="0"/>
        <w:numPr>
          <w:ilvl w:val="1"/>
          <w:numId w:val="13"/>
        </w:numPr>
        <w:tabs>
          <w:tab w:val="left" w:pos="1246"/>
        </w:tabs>
        <w:autoSpaceDE w:val="0"/>
        <w:autoSpaceDN w:val="0"/>
        <w:spacing w:before="26" w:after="0" w:line="240" w:lineRule="auto"/>
        <w:ind w:right="113"/>
        <w:contextualSpacing w:val="0"/>
        <w:jc w:val="both"/>
        <w:rPr>
          <w:color w:val="535353"/>
          <w:sz w:val="24"/>
        </w:rPr>
      </w:pPr>
      <w:r>
        <w:rPr>
          <w:color w:val="535353"/>
          <w:sz w:val="24"/>
        </w:rPr>
        <w:t xml:space="preserve">This Children First Sectoral Implementation Plan relates to the </w:t>
      </w:r>
      <w:r w:rsidR="004475DC">
        <w:rPr>
          <w:color w:val="535353"/>
          <w:sz w:val="24"/>
        </w:rPr>
        <w:t xml:space="preserve">Tax Appeals Commission (TAC) and </w:t>
      </w:r>
      <w:r w:rsidR="004475DC" w:rsidRPr="004475DC">
        <w:rPr>
          <w:color w:val="535353"/>
          <w:sz w:val="24"/>
        </w:rPr>
        <w:t>has been prepared and published in accordance with the Children First Act 2015.</w:t>
      </w:r>
    </w:p>
    <w:p w14:paraId="0B76128E" w14:textId="77777777" w:rsidR="00435FD0" w:rsidRDefault="00435FD0" w:rsidP="00435FD0">
      <w:pPr>
        <w:pStyle w:val="BodyText"/>
        <w:spacing w:before="11"/>
        <w:rPr>
          <w:sz w:val="23"/>
        </w:rPr>
      </w:pPr>
    </w:p>
    <w:p w14:paraId="4BB28284" w14:textId="22796E17" w:rsidR="00435FD0" w:rsidRDefault="00435FD0" w:rsidP="00435FD0">
      <w:pPr>
        <w:pStyle w:val="ListParagraph"/>
        <w:widowControl w:val="0"/>
        <w:numPr>
          <w:ilvl w:val="1"/>
          <w:numId w:val="13"/>
        </w:numPr>
        <w:tabs>
          <w:tab w:val="left" w:pos="1246"/>
        </w:tabs>
        <w:autoSpaceDE w:val="0"/>
        <w:autoSpaceDN w:val="0"/>
        <w:spacing w:before="0" w:after="0" w:line="240" w:lineRule="auto"/>
        <w:ind w:right="118"/>
        <w:contextualSpacing w:val="0"/>
        <w:jc w:val="both"/>
        <w:rPr>
          <w:color w:val="535353"/>
          <w:sz w:val="24"/>
        </w:rPr>
      </w:pPr>
      <w:r>
        <w:rPr>
          <w:color w:val="535353"/>
          <w:sz w:val="24"/>
        </w:rPr>
        <w:t>Section</w:t>
      </w:r>
      <w:r>
        <w:rPr>
          <w:color w:val="535353"/>
          <w:spacing w:val="-8"/>
          <w:sz w:val="24"/>
        </w:rPr>
        <w:t xml:space="preserve"> </w:t>
      </w:r>
      <w:r>
        <w:rPr>
          <w:color w:val="535353"/>
          <w:sz w:val="24"/>
        </w:rPr>
        <w:t>27</w:t>
      </w:r>
      <w:r>
        <w:rPr>
          <w:color w:val="535353"/>
          <w:spacing w:val="-9"/>
          <w:sz w:val="24"/>
        </w:rPr>
        <w:t xml:space="preserve"> </w:t>
      </w:r>
      <w:r>
        <w:rPr>
          <w:color w:val="535353"/>
          <w:sz w:val="24"/>
        </w:rPr>
        <w:t>of</w:t>
      </w:r>
      <w:r>
        <w:rPr>
          <w:color w:val="535353"/>
          <w:spacing w:val="-8"/>
          <w:sz w:val="24"/>
        </w:rPr>
        <w:t xml:space="preserve"> </w:t>
      </w:r>
      <w:r>
        <w:rPr>
          <w:color w:val="535353"/>
          <w:sz w:val="24"/>
        </w:rPr>
        <w:t>the</w:t>
      </w:r>
      <w:r>
        <w:rPr>
          <w:color w:val="535353"/>
          <w:spacing w:val="-9"/>
          <w:sz w:val="24"/>
        </w:rPr>
        <w:t xml:space="preserve"> </w:t>
      </w:r>
      <w:r>
        <w:rPr>
          <w:color w:val="535353"/>
          <w:sz w:val="24"/>
        </w:rPr>
        <w:t>Children</w:t>
      </w:r>
      <w:r>
        <w:rPr>
          <w:color w:val="535353"/>
          <w:spacing w:val="-6"/>
          <w:sz w:val="24"/>
        </w:rPr>
        <w:t xml:space="preserve"> </w:t>
      </w:r>
      <w:r>
        <w:rPr>
          <w:color w:val="535353"/>
          <w:sz w:val="24"/>
        </w:rPr>
        <w:t>First</w:t>
      </w:r>
      <w:r>
        <w:rPr>
          <w:color w:val="535353"/>
          <w:spacing w:val="-9"/>
          <w:sz w:val="24"/>
        </w:rPr>
        <w:t xml:space="preserve"> </w:t>
      </w:r>
      <w:r>
        <w:rPr>
          <w:color w:val="535353"/>
          <w:sz w:val="24"/>
        </w:rPr>
        <w:t>Act</w:t>
      </w:r>
      <w:r>
        <w:rPr>
          <w:color w:val="535353"/>
          <w:spacing w:val="-9"/>
          <w:sz w:val="24"/>
        </w:rPr>
        <w:t xml:space="preserve"> </w:t>
      </w:r>
      <w:r>
        <w:rPr>
          <w:color w:val="535353"/>
          <w:sz w:val="24"/>
        </w:rPr>
        <w:t>2015</w:t>
      </w:r>
      <w:r>
        <w:rPr>
          <w:color w:val="535353"/>
          <w:spacing w:val="-9"/>
          <w:sz w:val="24"/>
        </w:rPr>
        <w:t xml:space="preserve"> </w:t>
      </w:r>
      <w:r>
        <w:rPr>
          <w:color w:val="535353"/>
          <w:sz w:val="24"/>
        </w:rPr>
        <w:t>requires</w:t>
      </w:r>
      <w:r>
        <w:rPr>
          <w:color w:val="535353"/>
          <w:spacing w:val="-11"/>
          <w:sz w:val="24"/>
        </w:rPr>
        <w:t xml:space="preserve"> </w:t>
      </w:r>
      <w:r>
        <w:rPr>
          <w:color w:val="535353"/>
          <w:sz w:val="24"/>
        </w:rPr>
        <w:t>each</w:t>
      </w:r>
      <w:r>
        <w:rPr>
          <w:color w:val="535353"/>
          <w:spacing w:val="-9"/>
          <w:sz w:val="24"/>
        </w:rPr>
        <w:t xml:space="preserve"> </w:t>
      </w:r>
      <w:r w:rsidR="00467710">
        <w:rPr>
          <w:color w:val="535353"/>
          <w:spacing w:val="-9"/>
          <w:sz w:val="24"/>
        </w:rPr>
        <w:t>relevant body</w:t>
      </w:r>
      <w:r>
        <w:rPr>
          <w:color w:val="535353"/>
          <w:spacing w:val="-9"/>
          <w:sz w:val="24"/>
        </w:rPr>
        <w:t xml:space="preserve"> </w:t>
      </w:r>
      <w:r>
        <w:rPr>
          <w:color w:val="535353"/>
          <w:sz w:val="24"/>
        </w:rPr>
        <w:t>to</w:t>
      </w:r>
      <w:r>
        <w:rPr>
          <w:color w:val="535353"/>
          <w:spacing w:val="-11"/>
          <w:sz w:val="24"/>
        </w:rPr>
        <w:t xml:space="preserve"> </w:t>
      </w:r>
      <w:r>
        <w:rPr>
          <w:color w:val="535353"/>
          <w:sz w:val="24"/>
        </w:rPr>
        <w:t>prepare</w:t>
      </w:r>
      <w:r>
        <w:rPr>
          <w:color w:val="535353"/>
          <w:spacing w:val="-10"/>
          <w:sz w:val="24"/>
        </w:rPr>
        <w:t xml:space="preserve"> </w:t>
      </w:r>
      <w:r>
        <w:rPr>
          <w:color w:val="535353"/>
          <w:sz w:val="24"/>
        </w:rPr>
        <w:t>and</w:t>
      </w:r>
      <w:r>
        <w:rPr>
          <w:color w:val="535353"/>
          <w:spacing w:val="-9"/>
          <w:sz w:val="24"/>
        </w:rPr>
        <w:t xml:space="preserve"> </w:t>
      </w:r>
      <w:r>
        <w:rPr>
          <w:color w:val="535353"/>
          <w:sz w:val="24"/>
        </w:rPr>
        <w:t xml:space="preserve">publish a Sectoral Implementation Plan in relation to services to children delivered or funded by the </w:t>
      </w:r>
      <w:r w:rsidR="00467710">
        <w:rPr>
          <w:color w:val="535353"/>
          <w:sz w:val="24"/>
        </w:rPr>
        <w:t>organisation</w:t>
      </w:r>
      <w:r>
        <w:rPr>
          <w:color w:val="535353"/>
          <w:sz w:val="24"/>
        </w:rPr>
        <w:t>. Relevant services in this context are defined in Schedule 1 of the Act. The Sectoral Implementation Plan must contain the</w:t>
      </w:r>
      <w:r>
        <w:rPr>
          <w:color w:val="535353"/>
          <w:spacing w:val="-28"/>
          <w:sz w:val="24"/>
        </w:rPr>
        <w:t xml:space="preserve"> </w:t>
      </w:r>
      <w:r>
        <w:rPr>
          <w:color w:val="535353"/>
          <w:sz w:val="24"/>
        </w:rPr>
        <w:t>following:</w:t>
      </w:r>
    </w:p>
    <w:p w14:paraId="1A45CCE2" w14:textId="3A1B7045" w:rsidR="00435FD0" w:rsidRDefault="00435FD0" w:rsidP="00467710">
      <w:pPr>
        <w:pStyle w:val="ListParagraph"/>
        <w:widowControl w:val="0"/>
        <w:numPr>
          <w:ilvl w:val="0"/>
          <w:numId w:val="14"/>
        </w:numPr>
        <w:tabs>
          <w:tab w:val="left" w:pos="1842"/>
        </w:tabs>
        <w:autoSpaceDE w:val="0"/>
        <w:autoSpaceDN w:val="0"/>
        <w:spacing w:before="0" w:after="0" w:line="240" w:lineRule="auto"/>
        <w:ind w:right="118"/>
        <w:contextualSpacing w:val="0"/>
        <w:jc w:val="both"/>
        <w:rPr>
          <w:sz w:val="24"/>
        </w:rPr>
      </w:pPr>
      <w:r>
        <w:rPr>
          <w:color w:val="535353"/>
          <w:sz w:val="24"/>
        </w:rPr>
        <w:t xml:space="preserve">A description of the relevant services provided by or on behalf of the </w:t>
      </w:r>
      <w:r w:rsidR="00467710">
        <w:rPr>
          <w:color w:val="535353"/>
          <w:sz w:val="24"/>
        </w:rPr>
        <w:t>TAC</w:t>
      </w:r>
      <w:r>
        <w:rPr>
          <w:color w:val="535353"/>
          <w:sz w:val="24"/>
        </w:rPr>
        <w:t>;</w:t>
      </w:r>
    </w:p>
    <w:p w14:paraId="02D1C628" w14:textId="6CE31149" w:rsidR="00435FD0" w:rsidRDefault="00435FD0" w:rsidP="00467710">
      <w:pPr>
        <w:pStyle w:val="ListParagraph"/>
        <w:widowControl w:val="0"/>
        <w:numPr>
          <w:ilvl w:val="0"/>
          <w:numId w:val="14"/>
        </w:numPr>
        <w:tabs>
          <w:tab w:val="left" w:pos="1842"/>
        </w:tabs>
        <w:autoSpaceDE w:val="0"/>
        <w:autoSpaceDN w:val="0"/>
        <w:spacing w:before="0" w:after="0" w:line="240" w:lineRule="auto"/>
        <w:ind w:right="110"/>
        <w:contextualSpacing w:val="0"/>
        <w:jc w:val="both"/>
        <w:rPr>
          <w:sz w:val="24"/>
        </w:rPr>
      </w:pPr>
      <w:r>
        <w:rPr>
          <w:color w:val="535353"/>
          <w:sz w:val="24"/>
        </w:rPr>
        <w:t xml:space="preserve">An outline of the programme of measures taken, or to be taken, to ensure that the </w:t>
      </w:r>
      <w:r w:rsidR="00467710">
        <w:rPr>
          <w:color w:val="535353"/>
          <w:sz w:val="24"/>
        </w:rPr>
        <w:t>TAC</w:t>
      </w:r>
      <w:r>
        <w:rPr>
          <w:color w:val="535353"/>
          <w:sz w:val="24"/>
        </w:rPr>
        <w:t xml:space="preserve"> is in compliance with the</w:t>
      </w:r>
      <w:r>
        <w:rPr>
          <w:color w:val="535353"/>
          <w:spacing w:val="-4"/>
          <w:sz w:val="24"/>
        </w:rPr>
        <w:t xml:space="preserve"> </w:t>
      </w:r>
      <w:r>
        <w:rPr>
          <w:color w:val="535353"/>
          <w:sz w:val="24"/>
        </w:rPr>
        <w:t>Children</w:t>
      </w:r>
      <w:r>
        <w:rPr>
          <w:color w:val="535353"/>
          <w:spacing w:val="-2"/>
          <w:sz w:val="24"/>
        </w:rPr>
        <w:t xml:space="preserve"> </w:t>
      </w:r>
      <w:r>
        <w:rPr>
          <w:color w:val="535353"/>
          <w:sz w:val="24"/>
        </w:rPr>
        <w:t>First</w:t>
      </w:r>
      <w:r>
        <w:rPr>
          <w:color w:val="535353"/>
          <w:spacing w:val="-6"/>
          <w:sz w:val="24"/>
        </w:rPr>
        <w:t xml:space="preserve"> </w:t>
      </w:r>
      <w:r>
        <w:rPr>
          <w:color w:val="535353"/>
          <w:sz w:val="24"/>
        </w:rPr>
        <w:t>legislation</w:t>
      </w:r>
      <w:r>
        <w:rPr>
          <w:color w:val="535353"/>
          <w:spacing w:val="-3"/>
          <w:sz w:val="24"/>
        </w:rPr>
        <w:t xml:space="preserve"> </w:t>
      </w:r>
      <w:r>
        <w:rPr>
          <w:color w:val="535353"/>
          <w:sz w:val="24"/>
        </w:rPr>
        <w:t>and</w:t>
      </w:r>
      <w:r>
        <w:rPr>
          <w:color w:val="535353"/>
          <w:spacing w:val="-4"/>
          <w:sz w:val="24"/>
        </w:rPr>
        <w:t xml:space="preserve"> </w:t>
      </w:r>
      <w:r>
        <w:rPr>
          <w:color w:val="535353"/>
          <w:sz w:val="24"/>
        </w:rPr>
        <w:t>the</w:t>
      </w:r>
      <w:r>
        <w:rPr>
          <w:color w:val="535353"/>
          <w:spacing w:val="-4"/>
          <w:sz w:val="24"/>
        </w:rPr>
        <w:t xml:space="preserve"> </w:t>
      </w:r>
      <w:r>
        <w:rPr>
          <w:color w:val="535353"/>
          <w:sz w:val="24"/>
        </w:rPr>
        <w:t>guidance</w:t>
      </w:r>
      <w:r>
        <w:rPr>
          <w:color w:val="535353"/>
          <w:spacing w:val="-4"/>
          <w:sz w:val="24"/>
        </w:rPr>
        <w:t xml:space="preserve"> </w:t>
      </w:r>
      <w:r>
        <w:rPr>
          <w:color w:val="535353"/>
          <w:sz w:val="24"/>
        </w:rPr>
        <w:t>issued</w:t>
      </w:r>
      <w:r>
        <w:rPr>
          <w:color w:val="535353"/>
          <w:spacing w:val="-6"/>
          <w:sz w:val="24"/>
        </w:rPr>
        <w:t xml:space="preserve"> </w:t>
      </w:r>
      <w:r>
        <w:rPr>
          <w:color w:val="535353"/>
          <w:sz w:val="24"/>
        </w:rPr>
        <w:t>under</w:t>
      </w:r>
      <w:r>
        <w:rPr>
          <w:color w:val="535353"/>
          <w:spacing w:val="-4"/>
          <w:sz w:val="24"/>
        </w:rPr>
        <w:t xml:space="preserve"> </w:t>
      </w:r>
      <w:r>
        <w:rPr>
          <w:color w:val="535353"/>
          <w:sz w:val="24"/>
        </w:rPr>
        <w:t>Section</w:t>
      </w:r>
      <w:r>
        <w:rPr>
          <w:color w:val="535353"/>
          <w:spacing w:val="-6"/>
          <w:sz w:val="24"/>
        </w:rPr>
        <w:t xml:space="preserve"> </w:t>
      </w:r>
      <w:r>
        <w:rPr>
          <w:color w:val="535353"/>
          <w:sz w:val="24"/>
        </w:rPr>
        <w:t>6</w:t>
      </w:r>
      <w:r>
        <w:rPr>
          <w:color w:val="535353"/>
          <w:spacing w:val="-4"/>
          <w:sz w:val="24"/>
        </w:rPr>
        <w:t xml:space="preserve"> </w:t>
      </w:r>
      <w:r>
        <w:rPr>
          <w:color w:val="535353"/>
          <w:sz w:val="24"/>
        </w:rPr>
        <w:t>of</w:t>
      </w:r>
      <w:r>
        <w:rPr>
          <w:color w:val="535353"/>
          <w:spacing w:val="-4"/>
          <w:sz w:val="24"/>
        </w:rPr>
        <w:t xml:space="preserve"> </w:t>
      </w:r>
      <w:r>
        <w:rPr>
          <w:color w:val="535353"/>
          <w:sz w:val="24"/>
        </w:rPr>
        <w:t>the</w:t>
      </w:r>
      <w:r>
        <w:rPr>
          <w:color w:val="535353"/>
          <w:spacing w:val="-4"/>
          <w:sz w:val="24"/>
        </w:rPr>
        <w:t xml:space="preserve"> </w:t>
      </w:r>
      <w:r>
        <w:rPr>
          <w:color w:val="535353"/>
          <w:sz w:val="24"/>
        </w:rPr>
        <w:t>Act;</w:t>
      </w:r>
    </w:p>
    <w:p w14:paraId="44ABAE05" w14:textId="77777777" w:rsidR="00435FD0" w:rsidRDefault="00435FD0" w:rsidP="00467710">
      <w:pPr>
        <w:pStyle w:val="ListParagraph"/>
        <w:widowControl w:val="0"/>
        <w:numPr>
          <w:ilvl w:val="0"/>
          <w:numId w:val="14"/>
        </w:numPr>
        <w:tabs>
          <w:tab w:val="left" w:pos="1842"/>
        </w:tabs>
        <w:autoSpaceDE w:val="0"/>
        <w:autoSpaceDN w:val="0"/>
        <w:spacing w:before="0" w:after="0" w:line="240" w:lineRule="auto"/>
        <w:ind w:right="120"/>
        <w:contextualSpacing w:val="0"/>
        <w:jc w:val="both"/>
        <w:rPr>
          <w:sz w:val="24"/>
        </w:rPr>
      </w:pPr>
      <w:r>
        <w:rPr>
          <w:color w:val="535353"/>
          <w:sz w:val="24"/>
        </w:rPr>
        <w:t>An outline of the measures taken or proposed to be taken to promote, review and report on compliance under the legislation and guidance;</w:t>
      </w:r>
      <w:r>
        <w:rPr>
          <w:color w:val="535353"/>
          <w:spacing w:val="-22"/>
          <w:sz w:val="24"/>
        </w:rPr>
        <w:t xml:space="preserve"> </w:t>
      </w:r>
      <w:r>
        <w:rPr>
          <w:color w:val="535353"/>
          <w:sz w:val="24"/>
        </w:rPr>
        <w:t>and</w:t>
      </w:r>
    </w:p>
    <w:p w14:paraId="093FC638" w14:textId="77777777" w:rsidR="00435FD0" w:rsidRDefault="00435FD0" w:rsidP="00467710">
      <w:pPr>
        <w:pStyle w:val="ListParagraph"/>
        <w:widowControl w:val="0"/>
        <w:numPr>
          <w:ilvl w:val="0"/>
          <w:numId w:val="14"/>
        </w:numPr>
        <w:tabs>
          <w:tab w:val="left" w:pos="1842"/>
        </w:tabs>
        <w:autoSpaceDE w:val="0"/>
        <w:autoSpaceDN w:val="0"/>
        <w:spacing w:before="0" w:after="0" w:line="240" w:lineRule="auto"/>
        <w:ind w:right="119"/>
        <w:contextualSpacing w:val="0"/>
        <w:jc w:val="both"/>
        <w:rPr>
          <w:sz w:val="24"/>
        </w:rPr>
      </w:pPr>
      <w:r>
        <w:rPr>
          <w:color w:val="535353"/>
          <w:sz w:val="24"/>
        </w:rPr>
        <w:t>Monitoring and review procedures in relation to the Sectoral Implementation Plan.</w:t>
      </w:r>
    </w:p>
    <w:p w14:paraId="6EA41900" w14:textId="77777777" w:rsidR="00435FD0" w:rsidRDefault="00435FD0" w:rsidP="00435FD0">
      <w:pPr>
        <w:pStyle w:val="BodyText"/>
        <w:spacing w:before="11"/>
        <w:rPr>
          <w:sz w:val="23"/>
        </w:rPr>
      </w:pPr>
    </w:p>
    <w:p w14:paraId="285FF9DB" w14:textId="77777777" w:rsidR="00435FD0" w:rsidRDefault="00435FD0" w:rsidP="00435FD0">
      <w:pPr>
        <w:pStyle w:val="ListParagraph"/>
        <w:widowControl w:val="0"/>
        <w:numPr>
          <w:ilvl w:val="1"/>
          <w:numId w:val="13"/>
        </w:numPr>
        <w:tabs>
          <w:tab w:val="left" w:pos="1246"/>
        </w:tabs>
        <w:autoSpaceDE w:val="0"/>
        <w:autoSpaceDN w:val="0"/>
        <w:spacing w:before="0" w:after="0" w:line="240" w:lineRule="auto"/>
        <w:ind w:right="117"/>
        <w:contextualSpacing w:val="0"/>
        <w:jc w:val="both"/>
        <w:rPr>
          <w:color w:val="535353"/>
          <w:sz w:val="24"/>
        </w:rPr>
      </w:pPr>
      <w:r>
        <w:rPr>
          <w:color w:val="535353"/>
          <w:sz w:val="24"/>
        </w:rPr>
        <w:t>The Sectoral Implementation Plan, in accordance with Section 27(4) of the Act, must be laid before both Houses of the</w:t>
      </w:r>
      <w:r>
        <w:rPr>
          <w:color w:val="535353"/>
          <w:spacing w:val="-17"/>
          <w:sz w:val="24"/>
        </w:rPr>
        <w:t xml:space="preserve"> </w:t>
      </w:r>
      <w:r>
        <w:rPr>
          <w:color w:val="535353"/>
          <w:sz w:val="24"/>
        </w:rPr>
        <w:t>Oireachtas.</w:t>
      </w:r>
    </w:p>
    <w:p w14:paraId="7F02D5A7" w14:textId="77777777" w:rsidR="0041060B" w:rsidRDefault="0041060B" w:rsidP="00936221">
      <w:pPr>
        <w:spacing w:line="360" w:lineRule="auto"/>
        <w:rPr>
          <w:rFonts w:eastAsia="Calibri" w:cstheme="minorHAnsi"/>
          <w:b/>
          <w:bCs/>
          <w:sz w:val="24"/>
          <w:szCs w:val="24"/>
          <w:lang w:eastAsia="en-US"/>
        </w:rPr>
      </w:pPr>
    </w:p>
    <w:p w14:paraId="4A6F26DE" w14:textId="728E8D97" w:rsidR="0041060B" w:rsidRPr="00056A52" w:rsidRDefault="00467710" w:rsidP="0041060B">
      <w:pPr>
        <w:pStyle w:val="Heading1"/>
        <w:rPr>
          <w:b/>
          <w:bCs/>
          <w:sz w:val="24"/>
          <w:szCs w:val="24"/>
        </w:rPr>
      </w:pPr>
      <w:r>
        <w:rPr>
          <w:b/>
          <w:bCs/>
          <w:sz w:val="24"/>
          <w:szCs w:val="24"/>
        </w:rPr>
        <w:t>2</w:t>
      </w:r>
      <w:r w:rsidR="00B61843">
        <w:rPr>
          <w:b/>
          <w:bCs/>
          <w:sz w:val="24"/>
          <w:szCs w:val="24"/>
        </w:rPr>
        <w:t>.</w:t>
      </w:r>
      <w:r w:rsidR="00056A52" w:rsidRPr="00056A52">
        <w:rPr>
          <w:b/>
          <w:bCs/>
          <w:sz w:val="24"/>
          <w:szCs w:val="24"/>
        </w:rPr>
        <w:tab/>
      </w:r>
      <w:r>
        <w:rPr>
          <w:b/>
          <w:bCs/>
          <w:sz w:val="24"/>
          <w:szCs w:val="24"/>
        </w:rPr>
        <w:t>RELEVANT SERVICES PROVIDED</w:t>
      </w:r>
    </w:p>
    <w:p w14:paraId="0BEFF95D" w14:textId="7C7E0E32" w:rsidR="00152867" w:rsidRDefault="00EE2E9D" w:rsidP="00EE2E9D">
      <w:pPr>
        <w:pStyle w:val="Heading2"/>
      </w:pPr>
      <w:bookmarkStart w:id="1" w:name="_Hlk22728095"/>
      <w:r>
        <w:t>Tax Appeals Commission Sector</w:t>
      </w:r>
    </w:p>
    <w:p w14:paraId="54AE6685" w14:textId="77777777" w:rsidR="00152867" w:rsidRPr="00152867" w:rsidRDefault="00152867" w:rsidP="00152867">
      <w:pPr>
        <w:pStyle w:val="ListParagraph"/>
        <w:widowControl w:val="0"/>
        <w:numPr>
          <w:ilvl w:val="0"/>
          <w:numId w:val="13"/>
        </w:numPr>
        <w:tabs>
          <w:tab w:val="left" w:pos="1246"/>
        </w:tabs>
        <w:autoSpaceDE w:val="0"/>
        <w:autoSpaceDN w:val="0"/>
        <w:spacing w:before="0" w:after="0" w:line="240" w:lineRule="auto"/>
        <w:ind w:right="117"/>
        <w:contextualSpacing w:val="0"/>
        <w:jc w:val="both"/>
        <w:rPr>
          <w:vanish/>
          <w:color w:val="535353"/>
          <w:sz w:val="24"/>
        </w:rPr>
      </w:pPr>
    </w:p>
    <w:p w14:paraId="103E178C" w14:textId="0C71781D" w:rsidR="00152867" w:rsidRDefault="00152867" w:rsidP="00E90F17">
      <w:pPr>
        <w:pStyle w:val="ListParagraph"/>
        <w:widowControl w:val="0"/>
        <w:numPr>
          <w:ilvl w:val="1"/>
          <w:numId w:val="13"/>
        </w:numPr>
        <w:tabs>
          <w:tab w:val="left" w:pos="1246"/>
        </w:tabs>
        <w:autoSpaceDE w:val="0"/>
        <w:autoSpaceDN w:val="0"/>
        <w:spacing w:before="0" w:after="0" w:line="240" w:lineRule="auto"/>
        <w:ind w:left="1248" w:right="119" w:hanging="709"/>
        <w:contextualSpacing w:val="0"/>
        <w:jc w:val="both"/>
        <w:rPr>
          <w:color w:val="535353"/>
          <w:sz w:val="24"/>
        </w:rPr>
      </w:pPr>
      <w:r w:rsidRPr="00152867">
        <w:rPr>
          <w:color w:val="535353"/>
          <w:sz w:val="24"/>
        </w:rPr>
        <w:t>The TAC’s mission is to provide a modern, independent and efficient appeals process in relation to the hearing and adjudication of all tax appeals. The Department is working for the period 2020 to 2023 towards achieving the following Strategic Goals</w:t>
      </w:r>
      <w:r w:rsidR="00EE2E9D" w:rsidRPr="00152867">
        <w:rPr>
          <w:color w:val="535353"/>
          <w:sz w:val="24"/>
        </w:rPr>
        <w:t>:</w:t>
      </w:r>
    </w:p>
    <w:p w14:paraId="0271E173" w14:textId="1170F8CF" w:rsidR="00FD4AD0" w:rsidRPr="00E90F17" w:rsidRDefault="00FD4AD0" w:rsidP="00E90F17">
      <w:pPr>
        <w:pStyle w:val="ListParagraph"/>
        <w:numPr>
          <w:ilvl w:val="0"/>
          <w:numId w:val="16"/>
        </w:numPr>
        <w:ind w:left="1559" w:hanging="357"/>
        <w:jc w:val="both"/>
        <w:rPr>
          <w:color w:val="535353"/>
          <w:sz w:val="24"/>
        </w:rPr>
      </w:pPr>
      <w:r w:rsidRPr="00E90F17">
        <w:rPr>
          <w:color w:val="535353"/>
          <w:sz w:val="24"/>
        </w:rPr>
        <w:t xml:space="preserve">Processing </w:t>
      </w:r>
      <w:r w:rsidR="00152867" w:rsidRPr="00E90F17">
        <w:rPr>
          <w:color w:val="535353"/>
          <w:sz w:val="24"/>
        </w:rPr>
        <w:t>t</w:t>
      </w:r>
      <w:r w:rsidRPr="00E90F17">
        <w:rPr>
          <w:color w:val="535353"/>
          <w:sz w:val="24"/>
        </w:rPr>
        <w:t xml:space="preserve">ax </w:t>
      </w:r>
      <w:r w:rsidR="00152867" w:rsidRPr="00E90F17">
        <w:rPr>
          <w:color w:val="535353"/>
          <w:sz w:val="24"/>
        </w:rPr>
        <w:t>a</w:t>
      </w:r>
      <w:r w:rsidRPr="00E90F17">
        <w:rPr>
          <w:color w:val="535353"/>
          <w:sz w:val="24"/>
        </w:rPr>
        <w:t>ppeals with an exemplary and highly regarded tax appeals process, which is independent, impartial and expeditious and deliver a body of legally reliable determinations which assist in the clarification of relevant areas of taxation law and legislation;</w:t>
      </w:r>
    </w:p>
    <w:p w14:paraId="781E4C8D" w14:textId="79B62593" w:rsidR="00FD4AD0" w:rsidRPr="00E90F17" w:rsidRDefault="00FD4AD0" w:rsidP="00E90F17">
      <w:pPr>
        <w:pStyle w:val="ListParagraph"/>
        <w:numPr>
          <w:ilvl w:val="0"/>
          <w:numId w:val="16"/>
        </w:numPr>
        <w:ind w:left="1559" w:hanging="357"/>
        <w:jc w:val="both"/>
        <w:rPr>
          <w:color w:val="535353"/>
          <w:sz w:val="24"/>
        </w:rPr>
      </w:pPr>
      <w:r w:rsidRPr="00E90F17">
        <w:rPr>
          <w:color w:val="535353"/>
          <w:sz w:val="24"/>
        </w:rPr>
        <w:t>The implementation of key measures in the area of organisational capacity; and</w:t>
      </w:r>
    </w:p>
    <w:p w14:paraId="505F301C" w14:textId="5286A4CB" w:rsidR="00FD4AD0" w:rsidRPr="00E90F17" w:rsidRDefault="00152867" w:rsidP="00E90F17">
      <w:pPr>
        <w:pStyle w:val="ListParagraph"/>
        <w:numPr>
          <w:ilvl w:val="0"/>
          <w:numId w:val="16"/>
        </w:numPr>
        <w:ind w:left="1559" w:hanging="357"/>
        <w:jc w:val="both"/>
        <w:rPr>
          <w:color w:val="535353"/>
          <w:sz w:val="24"/>
        </w:rPr>
      </w:pPr>
      <w:r w:rsidRPr="00E90F17">
        <w:rPr>
          <w:color w:val="535353"/>
          <w:sz w:val="24"/>
        </w:rPr>
        <w:t>To become a highly regarded, transparent and accountable public body providing</w:t>
      </w:r>
      <w:r w:rsidR="00FD4AD0" w:rsidRPr="00E90F17">
        <w:rPr>
          <w:color w:val="535353"/>
          <w:sz w:val="24"/>
        </w:rPr>
        <w:t xml:space="preserve"> high quality data and information in relation to our taxation system and any emerging systemic issues. </w:t>
      </w:r>
    </w:p>
    <w:p w14:paraId="126CE893" w14:textId="3AAC3033" w:rsidR="00AB35A9" w:rsidRDefault="00AB35A9" w:rsidP="00AB35A9">
      <w:pPr>
        <w:jc w:val="both"/>
        <w:rPr>
          <w:sz w:val="24"/>
          <w:szCs w:val="24"/>
        </w:rPr>
      </w:pPr>
    </w:p>
    <w:p w14:paraId="7AC1EEF6" w14:textId="182FF1CB" w:rsidR="00AB35A9" w:rsidRDefault="00AB35A9" w:rsidP="00AB35A9">
      <w:pPr>
        <w:jc w:val="both"/>
        <w:rPr>
          <w:sz w:val="24"/>
          <w:szCs w:val="24"/>
        </w:rPr>
      </w:pPr>
    </w:p>
    <w:p w14:paraId="0E1C80D4" w14:textId="50A9E80D" w:rsidR="00FD4AD0" w:rsidRPr="00FD4AD0" w:rsidRDefault="0019337A" w:rsidP="0019337A">
      <w:pPr>
        <w:pStyle w:val="Heading2"/>
        <w:rPr>
          <w:lang w:val="en-GB"/>
        </w:rPr>
      </w:pPr>
      <w:r>
        <w:rPr>
          <w:lang w:val="en-GB"/>
        </w:rPr>
        <w:t>relevant services provided by the tax appeals commission</w:t>
      </w:r>
    </w:p>
    <w:p w14:paraId="1A0DFA67" w14:textId="774F42CA" w:rsidR="0019337A" w:rsidRDefault="00AB35A9" w:rsidP="00AB35A9">
      <w:pPr>
        <w:pStyle w:val="ListParagraph"/>
        <w:widowControl w:val="0"/>
        <w:numPr>
          <w:ilvl w:val="1"/>
          <w:numId w:val="13"/>
        </w:numPr>
        <w:tabs>
          <w:tab w:val="left" w:pos="1246"/>
        </w:tabs>
        <w:autoSpaceDE w:val="0"/>
        <w:autoSpaceDN w:val="0"/>
        <w:spacing w:before="0" w:after="0" w:line="240" w:lineRule="auto"/>
        <w:ind w:left="1248" w:right="119" w:hanging="709"/>
        <w:contextualSpacing w:val="0"/>
        <w:jc w:val="both"/>
        <w:rPr>
          <w:color w:val="535353"/>
          <w:sz w:val="24"/>
        </w:rPr>
      </w:pPr>
      <w:r w:rsidRPr="00AB35A9">
        <w:rPr>
          <w:color w:val="535353"/>
          <w:sz w:val="24"/>
        </w:rPr>
        <w:lastRenderedPageBreak/>
        <w:t xml:space="preserve">The Tax Appeals Commission (TAC) does not provide services directly to children but it may employ staff who are under the age of 18. In addition, the Commission supports the development of the potential of children and young people and may facilitate the placement of Transition Year students for short unpaid periods of work experience within the TAC. These Transition Year students are usually under 18 years of age. The TAC is committed to safeguarding all those under 18 years old working or training in the Commission, in line with Children First legislation and best practice. </w:t>
      </w:r>
      <w:r w:rsidR="0019337A" w:rsidRPr="00152867">
        <w:rPr>
          <w:color w:val="535353"/>
          <w:sz w:val="24"/>
        </w:rPr>
        <w:t xml:space="preserve"> </w:t>
      </w:r>
    </w:p>
    <w:p w14:paraId="36C241D5" w14:textId="77777777" w:rsidR="00AB35A9" w:rsidRDefault="00AB35A9" w:rsidP="00AB35A9">
      <w:pPr>
        <w:pStyle w:val="ListParagraph"/>
        <w:widowControl w:val="0"/>
        <w:tabs>
          <w:tab w:val="left" w:pos="1246"/>
        </w:tabs>
        <w:autoSpaceDE w:val="0"/>
        <w:autoSpaceDN w:val="0"/>
        <w:spacing w:before="0" w:after="0" w:line="240" w:lineRule="auto"/>
        <w:ind w:left="1248" w:right="119"/>
        <w:contextualSpacing w:val="0"/>
        <w:jc w:val="both"/>
        <w:rPr>
          <w:color w:val="535353"/>
          <w:sz w:val="24"/>
        </w:rPr>
      </w:pPr>
    </w:p>
    <w:p w14:paraId="5579BDE3" w14:textId="1D0BFE9E" w:rsidR="00AB35A9" w:rsidRDefault="00AB35A9" w:rsidP="00AB35A9">
      <w:pPr>
        <w:pStyle w:val="ListParagraph"/>
        <w:widowControl w:val="0"/>
        <w:numPr>
          <w:ilvl w:val="1"/>
          <w:numId w:val="13"/>
        </w:numPr>
        <w:tabs>
          <w:tab w:val="left" w:pos="1246"/>
        </w:tabs>
        <w:autoSpaceDE w:val="0"/>
        <w:autoSpaceDN w:val="0"/>
        <w:spacing w:before="0" w:after="0" w:line="240" w:lineRule="auto"/>
        <w:ind w:right="119"/>
        <w:contextualSpacing w:val="0"/>
        <w:jc w:val="both"/>
        <w:rPr>
          <w:color w:val="535353"/>
          <w:sz w:val="24"/>
        </w:rPr>
      </w:pPr>
      <w:r w:rsidRPr="00AB35A9">
        <w:rPr>
          <w:color w:val="535353"/>
          <w:sz w:val="24"/>
        </w:rPr>
        <w:t>The main role of the TAC is to adjudicate, hear and determine appeals against decisions and determinations of the Revenue Commissioners concerning taxes and duties. In carrying out this function, the TAC provides a public service where it is technically possible that a child may be present with a customer who attends the office. Children attending the Commission with a customer must be accompanied by the customer at all times during the visit. Consequently, such events are not covered by this plan.</w:t>
      </w:r>
    </w:p>
    <w:p w14:paraId="7033C0F2" w14:textId="77777777" w:rsidR="00AB35A9" w:rsidRDefault="00AB35A9" w:rsidP="00AB35A9">
      <w:pPr>
        <w:pStyle w:val="ListParagraph"/>
        <w:widowControl w:val="0"/>
        <w:tabs>
          <w:tab w:val="left" w:pos="1246"/>
        </w:tabs>
        <w:autoSpaceDE w:val="0"/>
        <w:autoSpaceDN w:val="0"/>
        <w:spacing w:before="0" w:after="0" w:line="240" w:lineRule="auto"/>
        <w:ind w:left="1246" w:right="119"/>
        <w:contextualSpacing w:val="0"/>
        <w:jc w:val="both"/>
        <w:rPr>
          <w:color w:val="535353"/>
          <w:sz w:val="24"/>
        </w:rPr>
      </w:pPr>
    </w:p>
    <w:p w14:paraId="02679C35" w14:textId="09703420" w:rsidR="00597382" w:rsidRDefault="00597382" w:rsidP="00597382">
      <w:pPr>
        <w:pStyle w:val="Heading2"/>
        <w:rPr>
          <w:lang w:val="en-GB"/>
        </w:rPr>
      </w:pPr>
      <w:r>
        <w:rPr>
          <w:lang w:val="en-GB"/>
        </w:rPr>
        <w:t>services funded by the tax appeals commission</w:t>
      </w:r>
    </w:p>
    <w:p w14:paraId="482BFF4E" w14:textId="1BC31E5D" w:rsidR="00AB35A9" w:rsidRPr="00B73855" w:rsidRDefault="00597382" w:rsidP="00374DC1">
      <w:pPr>
        <w:pStyle w:val="ListParagraph"/>
        <w:widowControl w:val="0"/>
        <w:numPr>
          <w:ilvl w:val="1"/>
          <w:numId w:val="18"/>
        </w:numPr>
        <w:tabs>
          <w:tab w:val="left" w:pos="1121"/>
        </w:tabs>
        <w:autoSpaceDE w:val="0"/>
        <w:autoSpaceDN w:val="0"/>
        <w:spacing w:before="22" w:after="0" w:line="259" w:lineRule="auto"/>
        <w:ind w:right="115"/>
        <w:contextualSpacing w:val="0"/>
        <w:jc w:val="both"/>
        <w:rPr>
          <w:sz w:val="24"/>
          <w:szCs w:val="24"/>
          <w:lang w:val="en-GB"/>
        </w:rPr>
      </w:pPr>
      <w:r w:rsidRPr="00B73855">
        <w:rPr>
          <w:color w:val="535353"/>
          <w:sz w:val="24"/>
        </w:rPr>
        <w:t>The providers of relevant services funded by the Department will be informed as the need arises of the provisions of the Children First Act 2015 and the National Guidance, and will be asked to provide assurance that they meet the necessary requirements.</w:t>
      </w:r>
    </w:p>
    <w:p w14:paraId="2770837E" w14:textId="77777777" w:rsidR="00B73855" w:rsidRPr="00B73855" w:rsidRDefault="00B73855" w:rsidP="00B73855">
      <w:pPr>
        <w:pStyle w:val="ListParagraph"/>
        <w:widowControl w:val="0"/>
        <w:tabs>
          <w:tab w:val="left" w:pos="1121"/>
        </w:tabs>
        <w:autoSpaceDE w:val="0"/>
        <w:autoSpaceDN w:val="0"/>
        <w:spacing w:before="22" w:after="0" w:line="259" w:lineRule="auto"/>
        <w:ind w:left="1120" w:right="115"/>
        <w:contextualSpacing w:val="0"/>
        <w:jc w:val="both"/>
        <w:rPr>
          <w:sz w:val="24"/>
          <w:szCs w:val="24"/>
          <w:lang w:val="en-GB"/>
        </w:rPr>
      </w:pPr>
    </w:p>
    <w:bookmarkEnd w:id="1"/>
    <w:p w14:paraId="68CB9EFC" w14:textId="4596075A" w:rsidR="0041060B" w:rsidRPr="00BF7883" w:rsidRDefault="00597382" w:rsidP="0041060B">
      <w:pPr>
        <w:pStyle w:val="Heading1"/>
        <w:rPr>
          <w:b/>
          <w:bCs/>
          <w:sz w:val="24"/>
          <w:szCs w:val="24"/>
        </w:rPr>
      </w:pPr>
      <w:r>
        <w:rPr>
          <w:b/>
          <w:bCs/>
          <w:sz w:val="24"/>
          <w:szCs w:val="24"/>
        </w:rPr>
        <w:t>3</w:t>
      </w:r>
      <w:r w:rsidR="00B61843">
        <w:rPr>
          <w:b/>
          <w:bCs/>
          <w:sz w:val="24"/>
          <w:szCs w:val="24"/>
        </w:rPr>
        <w:t>.</w:t>
      </w:r>
      <w:r w:rsidR="00BF7883" w:rsidRPr="00BF7883">
        <w:rPr>
          <w:b/>
          <w:bCs/>
          <w:sz w:val="24"/>
          <w:szCs w:val="24"/>
        </w:rPr>
        <w:tab/>
      </w:r>
      <w:r w:rsidRPr="00597382">
        <w:rPr>
          <w:b/>
          <w:bCs/>
          <w:sz w:val="24"/>
          <w:szCs w:val="24"/>
        </w:rPr>
        <w:t>Measures taken to promote, review and report on compliance with the provisions of the Act</w:t>
      </w:r>
    </w:p>
    <w:p w14:paraId="7ACF7C4A" w14:textId="1B5D2C08" w:rsidR="00597382" w:rsidRDefault="00597382" w:rsidP="00597382">
      <w:pPr>
        <w:pStyle w:val="Heading2"/>
        <w:rPr>
          <w:lang w:val="en-GB"/>
        </w:rPr>
      </w:pPr>
      <w:r w:rsidRPr="00597382">
        <w:rPr>
          <w:lang w:val="en-GB"/>
        </w:rPr>
        <w:t>Children First Interdepartmental Group (CFIDG)</w:t>
      </w:r>
    </w:p>
    <w:p w14:paraId="0BDD89C0" w14:textId="592109A6" w:rsidR="00597382" w:rsidRPr="00597382" w:rsidRDefault="00597382" w:rsidP="003866D5">
      <w:pPr>
        <w:pStyle w:val="ListParagraph"/>
        <w:widowControl w:val="0"/>
        <w:numPr>
          <w:ilvl w:val="1"/>
          <w:numId w:val="19"/>
        </w:numPr>
        <w:tabs>
          <w:tab w:val="left" w:pos="1121"/>
        </w:tabs>
        <w:autoSpaceDE w:val="0"/>
        <w:autoSpaceDN w:val="0"/>
        <w:spacing w:before="20" w:after="0" w:line="259" w:lineRule="auto"/>
        <w:ind w:left="1122" w:right="113" w:hanging="510"/>
        <w:contextualSpacing w:val="0"/>
        <w:jc w:val="both"/>
        <w:rPr>
          <w:sz w:val="24"/>
        </w:rPr>
      </w:pPr>
      <w:r>
        <w:rPr>
          <w:color w:val="535353"/>
          <w:sz w:val="24"/>
        </w:rPr>
        <w:t>The Minister for Children and Youth Affairs established a statutory Children First Interdepartmental Group (CFIDG) to bring central government oversight to the implementation process. The Department of Finance is represented on the CFIDG Group by a Principal Officer. This person is responsible for ensuring the Department’s</w:t>
      </w:r>
      <w:r>
        <w:rPr>
          <w:color w:val="535353"/>
          <w:spacing w:val="-7"/>
          <w:sz w:val="24"/>
        </w:rPr>
        <w:t xml:space="preserve"> </w:t>
      </w:r>
      <w:r>
        <w:rPr>
          <w:color w:val="535353"/>
          <w:sz w:val="24"/>
        </w:rPr>
        <w:t>overall</w:t>
      </w:r>
      <w:r>
        <w:rPr>
          <w:color w:val="535353"/>
          <w:spacing w:val="-5"/>
          <w:sz w:val="24"/>
        </w:rPr>
        <w:t xml:space="preserve"> </w:t>
      </w:r>
      <w:r>
        <w:rPr>
          <w:color w:val="535353"/>
          <w:sz w:val="24"/>
        </w:rPr>
        <w:t>compliance</w:t>
      </w:r>
      <w:r>
        <w:rPr>
          <w:color w:val="535353"/>
          <w:spacing w:val="-7"/>
          <w:sz w:val="24"/>
        </w:rPr>
        <w:t xml:space="preserve"> </w:t>
      </w:r>
      <w:r>
        <w:rPr>
          <w:color w:val="535353"/>
          <w:sz w:val="24"/>
        </w:rPr>
        <w:t>with</w:t>
      </w:r>
      <w:r>
        <w:rPr>
          <w:color w:val="535353"/>
          <w:spacing w:val="-9"/>
          <w:sz w:val="24"/>
        </w:rPr>
        <w:t xml:space="preserve"> </w:t>
      </w:r>
      <w:r>
        <w:rPr>
          <w:color w:val="535353"/>
          <w:sz w:val="24"/>
        </w:rPr>
        <w:t>the</w:t>
      </w:r>
      <w:r>
        <w:rPr>
          <w:color w:val="535353"/>
          <w:spacing w:val="-7"/>
          <w:sz w:val="24"/>
        </w:rPr>
        <w:t xml:space="preserve"> </w:t>
      </w:r>
      <w:r>
        <w:rPr>
          <w:color w:val="535353"/>
          <w:sz w:val="24"/>
        </w:rPr>
        <w:t>Children</w:t>
      </w:r>
      <w:r>
        <w:rPr>
          <w:color w:val="535353"/>
          <w:spacing w:val="-6"/>
          <w:sz w:val="24"/>
        </w:rPr>
        <w:t xml:space="preserve"> </w:t>
      </w:r>
      <w:r>
        <w:rPr>
          <w:color w:val="535353"/>
          <w:sz w:val="24"/>
        </w:rPr>
        <w:t>First</w:t>
      </w:r>
      <w:r>
        <w:rPr>
          <w:color w:val="535353"/>
          <w:spacing w:val="-6"/>
          <w:sz w:val="24"/>
        </w:rPr>
        <w:t xml:space="preserve"> </w:t>
      </w:r>
      <w:r>
        <w:rPr>
          <w:color w:val="535353"/>
          <w:sz w:val="24"/>
        </w:rPr>
        <w:t>Act</w:t>
      </w:r>
      <w:r>
        <w:rPr>
          <w:color w:val="535353"/>
          <w:spacing w:val="-7"/>
          <w:sz w:val="24"/>
        </w:rPr>
        <w:t xml:space="preserve"> </w:t>
      </w:r>
      <w:r>
        <w:rPr>
          <w:color w:val="535353"/>
          <w:sz w:val="24"/>
        </w:rPr>
        <w:t>2015</w:t>
      </w:r>
      <w:r>
        <w:rPr>
          <w:color w:val="535353"/>
          <w:spacing w:val="-7"/>
          <w:sz w:val="24"/>
        </w:rPr>
        <w:t xml:space="preserve"> </w:t>
      </w:r>
      <w:r>
        <w:rPr>
          <w:color w:val="535353"/>
          <w:sz w:val="24"/>
        </w:rPr>
        <w:t>and</w:t>
      </w:r>
      <w:r>
        <w:rPr>
          <w:color w:val="535353"/>
          <w:spacing w:val="-6"/>
          <w:sz w:val="24"/>
        </w:rPr>
        <w:t xml:space="preserve"> </w:t>
      </w:r>
      <w:r>
        <w:rPr>
          <w:color w:val="535353"/>
          <w:sz w:val="24"/>
        </w:rPr>
        <w:t>the</w:t>
      </w:r>
      <w:r>
        <w:rPr>
          <w:color w:val="535353"/>
          <w:spacing w:val="-7"/>
          <w:sz w:val="24"/>
        </w:rPr>
        <w:t xml:space="preserve"> </w:t>
      </w:r>
      <w:r>
        <w:rPr>
          <w:color w:val="535353"/>
          <w:sz w:val="24"/>
        </w:rPr>
        <w:t>Children First National</w:t>
      </w:r>
      <w:r>
        <w:rPr>
          <w:color w:val="535353"/>
          <w:spacing w:val="-12"/>
          <w:sz w:val="24"/>
        </w:rPr>
        <w:t xml:space="preserve"> </w:t>
      </w:r>
      <w:r>
        <w:rPr>
          <w:color w:val="535353"/>
          <w:sz w:val="24"/>
        </w:rPr>
        <w:t>Guidance.</w:t>
      </w:r>
    </w:p>
    <w:p w14:paraId="637C07E9" w14:textId="77777777" w:rsidR="00597382" w:rsidRPr="00597382" w:rsidRDefault="00597382" w:rsidP="00597382">
      <w:pPr>
        <w:pStyle w:val="ListParagraph"/>
        <w:widowControl w:val="0"/>
        <w:tabs>
          <w:tab w:val="left" w:pos="1121"/>
        </w:tabs>
        <w:autoSpaceDE w:val="0"/>
        <w:autoSpaceDN w:val="0"/>
        <w:spacing w:before="20" w:after="0" w:line="259" w:lineRule="auto"/>
        <w:ind w:left="1120" w:right="115"/>
        <w:contextualSpacing w:val="0"/>
        <w:rPr>
          <w:sz w:val="24"/>
        </w:rPr>
      </w:pPr>
    </w:p>
    <w:p w14:paraId="206630B1" w14:textId="6DF7DAF3" w:rsidR="00597382" w:rsidRDefault="00597382" w:rsidP="003866D5">
      <w:pPr>
        <w:pStyle w:val="ListParagraph"/>
        <w:widowControl w:val="0"/>
        <w:numPr>
          <w:ilvl w:val="1"/>
          <w:numId w:val="19"/>
        </w:numPr>
        <w:tabs>
          <w:tab w:val="left" w:pos="1121"/>
        </w:tabs>
        <w:autoSpaceDE w:val="0"/>
        <w:autoSpaceDN w:val="0"/>
        <w:spacing w:before="20" w:after="0" w:line="259" w:lineRule="auto"/>
        <w:ind w:left="1122" w:right="113" w:hanging="510"/>
        <w:contextualSpacing w:val="0"/>
        <w:jc w:val="both"/>
        <w:rPr>
          <w:color w:val="535353"/>
          <w:sz w:val="24"/>
        </w:rPr>
      </w:pPr>
      <w:r w:rsidRPr="003866D5">
        <w:rPr>
          <w:color w:val="535353"/>
          <w:sz w:val="24"/>
        </w:rPr>
        <w:t>The Tax Appeals Commission is a body under the aegis of the Department of Finance and is regularly notified of compliance requirements and made aware of its obligations under the Act to</w:t>
      </w:r>
      <w:r w:rsidR="003866D5" w:rsidRPr="003866D5">
        <w:rPr>
          <w:color w:val="535353"/>
          <w:sz w:val="24"/>
        </w:rPr>
        <w:t xml:space="preserve"> ensure it is addressing these responsibilities.</w:t>
      </w:r>
    </w:p>
    <w:p w14:paraId="2793FA2D" w14:textId="77777777" w:rsidR="00B73855" w:rsidRPr="003866D5" w:rsidRDefault="00B73855" w:rsidP="00B73855">
      <w:pPr>
        <w:pStyle w:val="ListParagraph"/>
        <w:widowControl w:val="0"/>
        <w:tabs>
          <w:tab w:val="left" w:pos="1121"/>
        </w:tabs>
        <w:autoSpaceDE w:val="0"/>
        <w:autoSpaceDN w:val="0"/>
        <w:spacing w:before="20" w:after="0" w:line="259" w:lineRule="auto"/>
        <w:ind w:left="1122" w:right="113"/>
        <w:contextualSpacing w:val="0"/>
        <w:jc w:val="both"/>
        <w:rPr>
          <w:color w:val="535353"/>
          <w:sz w:val="24"/>
        </w:rPr>
      </w:pPr>
    </w:p>
    <w:p w14:paraId="4CFA41BF" w14:textId="77777777" w:rsidR="00597382" w:rsidRPr="00D36556" w:rsidRDefault="00597382" w:rsidP="00D36556">
      <w:pPr>
        <w:pStyle w:val="Heading2"/>
      </w:pPr>
      <w:bookmarkStart w:id="2" w:name="_bookmark13"/>
      <w:bookmarkEnd w:id="2"/>
      <w:r w:rsidRPr="00D36556">
        <w:t>Sectoral Implementation Plan</w:t>
      </w:r>
    </w:p>
    <w:p w14:paraId="37B922AA" w14:textId="41134C95" w:rsidR="00597382" w:rsidRPr="00E41BED" w:rsidRDefault="00597382" w:rsidP="00597382">
      <w:pPr>
        <w:pStyle w:val="ListParagraph"/>
        <w:widowControl w:val="0"/>
        <w:numPr>
          <w:ilvl w:val="1"/>
          <w:numId w:val="19"/>
        </w:numPr>
        <w:tabs>
          <w:tab w:val="left" w:pos="1121"/>
        </w:tabs>
        <w:autoSpaceDE w:val="0"/>
        <w:autoSpaceDN w:val="0"/>
        <w:spacing w:before="22" w:after="0" w:line="259" w:lineRule="auto"/>
        <w:ind w:right="113"/>
        <w:contextualSpacing w:val="0"/>
        <w:jc w:val="both"/>
        <w:rPr>
          <w:sz w:val="24"/>
        </w:rPr>
      </w:pPr>
      <w:r>
        <w:rPr>
          <w:color w:val="535353"/>
          <w:sz w:val="24"/>
        </w:rPr>
        <w:t xml:space="preserve">This Sectoral Implementation Plan sets out the high level sectoral guidance principles to be applied across the </w:t>
      </w:r>
      <w:r w:rsidR="00B73855">
        <w:rPr>
          <w:color w:val="535353"/>
          <w:sz w:val="24"/>
        </w:rPr>
        <w:t xml:space="preserve">Tax Appeals Commission </w:t>
      </w:r>
      <w:r>
        <w:rPr>
          <w:color w:val="535353"/>
          <w:sz w:val="24"/>
        </w:rPr>
        <w:t>in the</w:t>
      </w:r>
      <w:r>
        <w:rPr>
          <w:color w:val="535353"/>
          <w:spacing w:val="-16"/>
          <w:sz w:val="24"/>
        </w:rPr>
        <w:t xml:space="preserve"> </w:t>
      </w:r>
      <w:r>
        <w:rPr>
          <w:color w:val="535353"/>
          <w:sz w:val="24"/>
        </w:rPr>
        <w:t>ongoing</w:t>
      </w:r>
      <w:r>
        <w:rPr>
          <w:color w:val="535353"/>
          <w:spacing w:val="-17"/>
          <w:sz w:val="24"/>
        </w:rPr>
        <w:t xml:space="preserve"> </w:t>
      </w:r>
      <w:r>
        <w:rPr>
          <w:color w:val="535353"/>
          <w:sz w:val="24"/>
        </w:rPr>
        <w:t>implementation</w:t>
      </w:r>
      <w:r>
        <w:rPr>
          <w:color w:val="535353"/>
          <w:spacing w:val="-16"/>
          <w:sz w:val="24"/>
        </w:rPr>
        <w:t xml:space="preserve"> </w:t>
      </w:r>
      <w:r>
        <w:rPr>
          <w:color w:val="535353"/>
          <w:sz w:val="24"/>
        </w:rPr>
        <w:t>of</w:t>
      </w:r>
      <w:r>
        <w:rPr>
          <w:color w:val="535353"/>
          <w:spacing w:val="-16"/>
          <w:sz w:val="24"/>
        </w:rPr>
        <w:t xml:space="preserve"> </w:t>
      </w:r>
      <w:r>
        <w:rPr>
          <w:color w:val="535353"/>
          <w:sz w:val="24"/>
        </w:rPr>
        <w:t>the</w:t>
      </w:r>
      <w:r>
        <w:rPr>
          <w:color w:val="535353"/>
          <w:spacing w:val="-13"/>
          <w:sz w:val="24"/>
        </w:rPr>
        <w:t xml:space="preserve"> </w:t>
      </w:r>
      <w:r>
        <w:rPr>
          <w:color w:val="535353"/>
          <w:sz w:val="24"/>
        </w:rPr>
        <w:t>Children</w:t>
      </w:r>
      <w:r>
        <w:rPr>
          <w:color w:val="535353"/>
          <w:spacing w:val="-16"/>
          <w:sz w:val="24"/>
        </w:rPr>
        <w:t xml:space="preserve"> </w:t>
      </w:r>
      <w:r>
        <w:rPr>
          <w:color w:val="535353"/>
          <w:sz w:val="24"/>
        </w:rPr>
        <w:t>First</w:t>
      </w:r>
      <w:r>
        <w:rPr>
          <w:color w:val="535353"/>
          <w:spacing w:val="-16"/>
          <w:sz w:val="24"/>
        </w:rPr>
        <w:t xml:space="preserve"> </w:t>
      </w:r>
      <w:r>
        <w:rPr>
          <w:color w:val="535353"/>
          <w:sz w:val="24"/>
        </w:rPr>
        <w:t>Act</w:t>
      </w:r>
      <w:r>
        <w:rPr>
          <w:color w:val="535353"/>
          <w:spacing w:val="-15"/>
          <w:sz w:val="24"/>
        </w:rPr>
        <w:t xml:space="preserve"> </w:t>
      </w:r>
      <w:r>
        <w:rPr>
          <w:color w:val="535353"/>
          <w:sz w:val="24"/>
        </w:rPr>
        <w:t>2015</w:t>
      </w:r>
      <w:r>
        <w:rPr>
          <w:color w:val="535353"/>
          <w:spacing w:val="-15"/>
          <w:sz w:val="24"/>
        </w:rPr>
        <w:t xml:space="preserve"> </w:t>
      </w:r>
      <w:r>
        <w:rPr>
          <w:color w:val="535353"/>
          <w:sz w:val="24"/>
        </w:rPr>
        <w:t>and</w:t>
      </w:r>
      <w:r>
        <w:rPr>
          <w:color w:val="535353"/>
          <w:spacing w:val="-15"/>
          <w:sz w:val="24"/>
        </w:rPr>
        <w:t xml:space="preserve"> </w:t>
      </w:r>
      <w:r>
        <w:rPr>
          <w:color w:val="535353"/>
          <w:sz w:val="24"/>
        </w:rPr>
        <w:t>Guidance</w:t>
      </w:r>
      <w:r>
        <w:rPr>
          <w:color w:val="535353"/>
          <w:spacing w:val="-16"/>
          <w:sz w:val="24"/>
        </w:rPr>
        <w:t xml:space="preserve"> </w:t>
      </w:r>
      <w:r>
        <w:rPr>
          <w:color w:val="535353"/>
          <w:sz w:val="24"/>
        </w:rPr>
        <w:t xml:space="preserve">principles. The Plan will be published on the </w:t>
      </w:r>
      <w:r w:rsidR="00B73855">
        <w:rPr>
          <w:color w:val="535353"/>
          <w:sz w:val="24"/>
        </w:rPr>
        <w:t>Commission</w:t>
      </w:r>
      <w:r>
        <w:rPr>
          <w:color w:val="535353"/>
          <w:sz w:val="24"/>
        </w:rPr>
        <w:t>’s website. It will be reviewed every three years or more regularly as</w:t>
      </w:r>
      <w:r>
        <w:rPr>
          <w:color w:val="535353"/>
          <w:spacing w:val="-13"/>
          <w:sz w:val="24"/>
        </w:rPr>
        <w:t xml:space="preserve"> </w:t>
      </w:r>
      <w:r>
        <w:rPr>
          <w:color w:val="535353"/>
          <w:sz w:val="24"/>
        </w:rPr>
        <w:t>required.</w:t>
      </w:r>
    </w:p>
    <w:p w14:paraId="1C6DCA6C" w14:textId="3207FDEC" w:rsidR="00E41BED" w:rsidRDefault="00E41BED" w:rsidP="00E41BED">
      <w:pPr>
        <w:pStyle w:val="ListParagraph"/>
        <w:widowControl w:val="0"/>
        <w:tabs>
          <w:tab w:val="left" w:pos="1121"/>
        </w:tabs>
        <w:autoSpaceDE w:val="0"/>
        <w:autoSpaceDN w:val="0"/>
        <w:spacing w:before="22" w:after="0" w:line="259" w:lineRule="auto"/>
        <w:ind w:left="1120" w:right="113"/>
        <w:contextualSpacing w:val="0"/>
        <w:rPr>
          <w:color w:val="535353"/>
          <w:sz w:val="24"/>
        </w:rPr>
      </w:pPr>
    </w:p>
    <w:p w14:paraId="77A50B25" w14:textId="6A7AA187" w:rsidR="00E41BED" w:rsidRDefault="00E41BED" w:rsidP="00E41BED">
      <w:pPr>
        <w:pStyle w:val="ListParagraph"/>
        <w:widowControl w:val="0"/>
        <w:tabs>
          <w:tab w:val="left" w:pos="1121"/>
        </w:tabs>
        <w:autoSpaceDE w:val="0"/>
        <w:autoSpaceDN w:val="0"/>
        <w:spacing w:before="22" w:after="0" w:line="259" w:lineRule="auto"/>
        <w:ind w:left="1120" w:right="113"/>
        <w:contextualSpacing w:val="0"/>
        <w:rPr>
          <w:color w:val="535353"/>
          <w:sz w:val="24"/>
        </w:rPr>
      </w:pPr>
    </w:p>
    <w:p w14:paraId="5473AB46" w14:textId="77777777" w:rsidR="00597382" w:rsidRPr="00B73855" w:rsidRDefault="00597382" w:rsidP="00B73855">
      <w:pPr>
        <w:pStyle w:val="Heading2"/>
      </w:pPr>
      <w:bookmarkStart w:id="3" w:name="_bookmark14"/>
      <w:bookmarkEnd w:id="3"/>
      <w:r w:rsidRPr="00B73855">
        <w:t>Child Safeguarding Statement</w:t>
      </w:r>
    </w:p>
    <w:p w14:paraId="6F18C154" w14:textId="306139C4" w:rsidR="00597382" w:rsidRDefault="00597382" w:rsidP="00B73855">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sidRPr="00B73855">
        <w:rPr>
          <w:color w:val="535353"/>
          <w:sz w:val="24"/>
        </w:rPr>
        <w:t xml:space="preserve">The </w:t>
      </w:r>
      <w:r w:rsidR="00040974">
        <w:rPr>
          <w:color w:val="535353"/>
          <w:sz w:val="24"/>
        </w:rPr>
        <w:t>Commission</w:t>
      </w:r>
      <w:r w:rsidRPr="00B73855">
        <w:rPr>
          <w:color w:val="535353"/>
          <w:sz w:val="24"/>
        </w:rPr>
        <w:t xml:space="preserve">’s Children First Child Safeguarding Statement sets out the services the </w:t>
      </w:r>
      <w:r w:rsidR="00040974">
        <w:rPr>
          <w:color w:val="535353"/>
          <w:sz w:val="24"/>
        </w:rPr>
        <w:t>Tax Appeals Commission</w:t>
      </w:r>
      <w:r w:rsidRPr="00B73855">
        <w:rPr>
          <w:color w:val="535353"/>
          <w:sz w:val="24"/>
        </w:rPr>
        <w:t xml:space="preserve"> provides and the principles and procedures to be observed in order to ensure, as far as practicable, that a child availing of these services is safe</w:t>
      </w:r>
      <w:r w:rsidR="00B73855">
        <w:rPr>
          <w:color w:val="535353"/>
          <w:sz w:val="24"/>
        </w:rPr>
        <w:t xml:space="preserve"> </w:t>
      </w:r>
      <w:r w:rsidRPr="00B73855">
        <w:rPr>
          <w:color w:val="535353"/>
          <w:sz w:val="24"/>
        </w:rPr>
        <w:t xml:space="preserve">from harm. This includes procedures to be followed to identify and mitigate any risks to TY students while working in the </w:t>
      </w:r>
      <w:r w:rsidR="00040974">
        <w:rPr>
          <w:color w:val="535353"/>
          <w:sz w:val="24"/>
        </w:rPr>
        <w:t>Commission</w:t>
      </w:r>
      <w:r w:rsidRPr="00B73855">
        <w:rPr>
          <w:color w:val="535353"/>
          <w:sz w:val="24"/>
        </w:rPr>
        <w:t xml:space="preserve">. The Child Safeguarding Statement will be displayed in a prominent place, it will be circulated to all staff members and will be published on the </w:t>
      </w:r>
      <w:r w:rsidR="00040974">
        <w:rPr>
          <w:color w:val="535353"/>
          <w:sz w:val="24"/>
        </w:rPr>
        <w:t>Commission</w:t>
      </w:r>
      <w:r w:rsidRPr="00B73855">
        <w:rPr>
          <w:color w:val="535353"/>
          <w:sz w:val="24"/>
        </w:rPr>
        <w:t>’s website. It will be formally reviewed at least every two years or more regularly as required.</w:t>
      </w:r>
    </w:p>
    <w:p w14:paraId="1CF1E7E7" w14:textId="77777777" w:rsidR="00040974" w:rsidRPr="00B73855" w:rsidRDefault="00040974" w:rsidP="00040974">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23BDA7CE" w14:textId="77777777" w:rsidR="00597382" w:rsidRPr="00040974" w:rsidRDefault="00597382" w:rsidP="00040974">
      <w:pPr>
        <w:pStyle w:val="Heading2"/>
      </w:pPr>
      <w:bookmarkStart w:id="4" w:name="_bookmark15"/>
      <w:bookmarkEnd w:id="4"/>
      <w:r w:rsidRPr="00040974">
        <w:t>Reporting Protocol</w:t>
      </w:r>
    </w:p>
    <w:p w14:paraId="3DDB6014" w14:textId="1B2490EE" w:rsidR="00597382" w:rsidRDefault="00597382" w:rsidP="00040974">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A Children First Reporting Protocol has been developed, providing clear guidance on how reporting should take place, by whom and in what circumstances. A standard</w:t>
      </w:r>
      <w:r w:rsidRPr="00040974">
        <w:rPr>
          <w:color w:val="535353"/>
          <w:sz w:val="24"/>
        </w:rPr>
        <w:t xml:space="preserve"> </w:t>
      </w:r>
      <w:r>
        <w:rPr>
          <w:color w:val="535353"/>
          <w:sz w:val="24"/>
        </w:rPr>
        <w:t>reporting</w:t>
      </w:r>
      <w:r w:rsidRPr="00040974">
        <w:rPr>
          <w:color w:val="535353"/>
          <w:sz w:val="24"/>
        </w:rPr>
        <w:t xml:space="preserve"> </w:t>
      </w:r>
      <w:r>
        <w:rPr>
          <w:color w:val="535353"/>
          <w:sz w:val="24"/>
        </w:rPr>
        <w:t>form</w:t>
      </w:r>
      <w:r w:rsidRPr="00040974">
        <w:rPr>
          <w:color w:val="535353"/>
          <w:sz w:val="24"/>
        </w:rPr>
        <w:t xml:space="preserve"> </w:t>
      </w:r>
      <w:r>
        <w:rPr>
          <w:color w:val="535353"/>
          <w:sz w:val="24"/>
        </w:rPr>
        <w:t>has</w:t>
      </w:r>
      <w:r w:rsidRPr="00040974">
        <w:rPr>
          <w:color w:val="535353"/>
          <w:sz w:val="24"/>
        </w:rPr>
        <w:t xml:space="preserve"> </w:t>
      </w:r>
      <w:r>
        <w:rPr>
          <w:color w:val="535353"/>
          <w:sz w:val="24"/>
        </w:rPr>
        <w:t>been</w:t>
      </w:r>
      <w:r w:rsidRPr="00040974">
        <w:rPr>
          <w:color w:val="535353"/>
          <w:sz w:val="24"/>
        </w:rPr>
        <w:t xml:space="preserve"> </w:t>
      </w:r>
      <w:r>
        <w:rPr>
          <w:color w:val="535353"/>
          <w:sz w:val="24"/>
        </w:rPr>
        <w:t>developed</w:t>
      </w:r>
      <w:r w:rsidRPr="00040974">
        <w:rPr>
          <w:color w:val="535353"/>
          <w:sz w:val="24"/>
        </w:rPr>
        <w:t xml:space="preserve"> </w:t>
      </w:r>
      <w:r>
        <w:rPr>
          <w:color w:val="535353"/>
          <w:sz w:val="24"/>
        </w:rPr>
        <w:t>for</w:t>
      </w:r>
      <w:r w:rsidRPr="00040974">
        <w:rPr>
          <w:color w:val="535353"/>
          <w:sz w:val="24"/>
        </w:rPr>
        <w:t xml:space="preserve"> </w:t>
      </w:r>
      <w:r>
        <w:rPr>
          <w:color w:val="535353"/>
          <w:sz w:val="24"/>
        </w:rPr>
        <w:t>the</w:t>
      </w:r>
      <w:r w:rsidRPr="00040974">
        <w:rPr>
          <w:color w:val="535353"/>
          <w:sz w:val="24"/>
        </w:rPr>
        <w:t xml:space="preserve"> </w:t>
      </w:r>
      <w:r>
        <w:rPr>
          <w:color w:val="535353"/>
          <w:sz w:val="24"/>
        </w:rPr>
        <w:t>person</w:t>
      </w:r>
      <w:r w:rsidRPr="00040974">
        <w:rPr>
          <w:color w:val="535353"/>
          <w:sz w:val="24"/>
        </w:rPr>
        <w:t xml:space="preserve"> </w:t>
      </w:r>
      <w:r>
        <w:rPr>
          <w:color w:val="535353"/>
          <w:sz w:val="24"/>
        </w:rPr>
        <w:t>reporting</w:t>
      </w:r>
      <w:r w:rsidRPr="00040974">
        <w:rPr>
          <w:color w:val="535353"/>
          <w:sz w:val="24"/>
        </w:rPr>
        <w:t xml:space="preserve"> </w:t>
      </w:r>
      <w:r>
        <w:rPr>
          <w:color w:val="535353"/>
          <w:sz w:val="24"/>
        </w:rPr>
        <w:t>a</w:t>
      </w:r>
      <w:r w:rsidRPr="00040974">
        <w:rPr>
          <w:color w:val="535353"/>
          <w:sz w:val="24"/>
        </w:rPr>
        <w:t xml:space="preserve"> </w:t>
      </w:r>
      <w:r>
        <w:rPr>
          <w:color w:val="535353"/>
          <w:sz w:val="24"/>
        </w:rPr>
        <w:t>concern</w:t>
      </w:r>
      <w:r w:rsidRPr="00040974">
        <w:rPr>
          <w:color w:val="535353"/>
          <w:sz w:val="24"/>
        </w:rPr>
        <w:t xml:space="preserve"> </w:t>
      </w:r>
      <w:r>
        <w:rPr>
          <w:color w:val="535353"/>
          <w:sz w:val="24"/>
        </w:rPr>
        <w:t>to complete and to submit to the designated liaison person. A record of any such concerns will be maintained in a confidential and secure manner. Reporting of concerns will be made in the appropriate way to Tusla in accordance with the requirements of the Children First Act</w:t>
      </w:r>
      <w:r w:rsidRPr="00040974">
        <w:rPr>
          <w:color w:val="535353"/>
          <w:sz w:val="24"/>
        </w:rPr>
        <w:t xml:space="preserve"> </w:t>
      </w:r>
      <w:r>
        <w:rPr>
          <w:color w:val="535353"/>
          <w:sz w:val="24"/>
        </w:rPr>
        <w:t>2015.</w:t>
      </w:r>
    </w:p>
    <w:p w14:paraId="64D8C83C" w14:textId="77777777" w:rsidR="00040974" w:rsidRPr="00040974" w:rsidRDefault="00040974" w:rsidP="00040974">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2401BBBB" w14:textId="77777777" w:rsidR="00597382" w:rsidRPr="00040974" w:rsidRDefault="00597382" w:rsidP="00040974">
      <w:pPr>
        <w:pStyle w:val="Heading2"/>
      </w:pPr>
      <w:bookmarkStart w:id="5" w:name="_bookmark16"/>
      <w:bookmarkEnd w:id="5"/>
      <w:r w:rsidRPr="00040974">
        <w:t>Relevant Persons</w:t>
      </w:r>
    </w:p>
    <w:p w14:paraId="718BADF4" w14:textId="54FDAF65" w:rsidR="00597382" w:rsidRDefault="00597382" w:rsidP="00040974">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 xml:space="preserve">The </w:t>
      </w:r>
      <w:r w:rsidR="00040974">
        <w:rPr>
          <w:color w:val="535353"/>
          <w:sz w:val="24"/>
        </w:rPr>
        <w:t>Tax Appeals Commission</w:t>
      </w:r>
      <w:r>
        <w:rPr>
          <w:color w:val="535353"/>
          <w:sz w:val="24"/>
        </w:rPr>
        <w:t xml:space="preserve"> has appointed a designated liaison person (DLP) and deputy designated</w:t>
      </w:r>
      <w:r w:rsidRPr="00040974">
        <w:rPr>
          <w:color w:val="535353"/>
          <w:sz w:val="24"/>
        </w:rPr>
        <w:t xml:space="preserve"> </w:t>
      </w:r>
      <w:r>
        <w:rPr>
          <w:color w:val="535353"/>
          <w:sz w:val="24"/>
        </w:rPr>
        <w:t>liaison</w:t>
      </w:r>
      <w:r w:rsidRPr="00040974">
        <w:rPr>
          <w:color w:val="535353"/>
          <w:sz w:val="24"/>
        </w:rPr>
        <w:t xml:space="preserve"> </w:t>
      </w:r>
      <w:r>
        <w:rPr>
          <w:color w:val="535353"/>
          <w:sz w:val="24"/>
        </w:rPr>
        <w:t>person</w:t>
      </w:r>
      <w:r w:rsidRPr="00040974">
        <w:rPr>
          <w:color w:val="535353"/>
          <w:sz w:val="24"/>
        </w:rPr>
        <w:t xml:space="preserve"> </w:t>
      </w:r>
      <w:r>
        <w:rPr>
          <w:color w:val="535353"/>
          <w:sz w:val="24"/>
        </w:rPr>
        <w:t>(Deputy</w:t>
      </w:r>
      <w:r w:rsidRPr="00040974">
        <w:rPr>
          <w:color w:val="535353"/>
          <w:sz w:val="24"/>
        </w:rPr>
        <w:t xml:space="preserve"> </w:t>
      </w:r>
      <w:r>
        <w:rPr>
          <w:color w:val="535353"/>
          <w:sz w:val="24"/>
        </w:rPr>
        <w:t>DLP)</w:t>
      </w:r>
      <w:r w:rsidRPr="00040974">
        <w:rPr>
          <w:color w:val="535353"/>
          <w:sz w:val="24"/>
        </w:rPr>
        <w:t xml:space="preserve"> </w:t>
      </w:r>
      <w:r>
        <w:rPr>
          <w:color w:val="535353"/>
          <w:sz w:val="24"/>
        </w:rPr>
        <w:t>as</w:t>
      </w:r>
      <w:r w:rsidRPr="00040974">
        <w:rPr>
          <w:color w:val="535353"/>
          <w:sz w:val="24"/>
        </w:rPr>
        <w:t xml:space="preserve"> </w:t>
      </w:r>
      <w:r>
        <w:rPr>
          <w:color w:val="535353"/>
          <w:sz w:val="24"/>
        </w:rPr>
        <w:t>the</w:t>
      </w:r>
      <w:r w:rsidRPr="00040974">
        <w:rPr>
          <w:color w:val="535353"/>
          <w:sz w:val="24"/>
        </w:rPr>
        <w:t xml:space="preserve"> </w:t>
      </w:r>
      <w:r>
        <w:rPr>
          <w:color w:val="535353"/>
          <w:sz w:val="24"/>
        </w:rPr>
        <w:t>relevant</w:t>
      </w:r>
      <w:r w:rsidRPr="00040974">
        <w:rPr>
          <w:color w:val="535353"/>
          <w:sz w:val="24"/>
        </w:rPr>
        <w:t xml:space="preserve"> </w:t>
      </w:r>
      <w:r>
        <w:rPr>
          <w:color w:val="535353"/>
          <w:sz w:val="24"/>
        </w:rPr>
        <w:t>person</w:t>
      </w:r>
      <w:r w:rsidRPr="00040974">
        <w:rPr>
          <w:color w:val="535353"/>
          <w:sz w:val="24"/>
        </w:rPr>
        <w:t xml:space="preserve"> </w:t>
      </w:r>
      <w:r>
        <w:rPr>
          <w:color w:val="535353"/>
          <w:sz w:val="24"/>
        </w:rPr>
        <w:t>and</w:t>
      </w:r>
      <w:r w:rsidRPr="00040974">
        <w:rPr>
          <w:color w:val="535353"/>
          <w:sz w:val="24"/>
        </w:rPr>
        <w:t xml:space="preserve"> </w:t>
      </w:r>
      <w:r>
        <w:rPr>
          <w:color w:val="535353"/>
          <w:sz w:val="24"/>
        </w:rPr>
        <w:t>deputy</w:t>
      </w:r>
      <w:r w:rsidRPr="00040974">
        <w:rPr>
          <w:color w:val="535353"/>
          <w:sz w:val="24"/>
        </w:rPr>
        <w:t xml:space="preserve"> </w:t>
      </w:r>
      <w:r>
        <w:rPr>
          <w:color w:val="535353"/>
          <w:sz w:val="24"/>
        </w:rPr>
        <w:t xml:space="preserve">relevant person for the purpose of meeting the requirements of the </w:t>
      </w:r>
      <w:r w:rsidR="00040974">
        <w:rPr>
          <w:color w:val="535353"/>
          <w:sz w:val="24"/>
        </w:rPr>
        <w:t>Commission</w:t>
      </w:r>
      <w:r>
        <w:rPr>
          <w:color w:val="535353"/>
          <w:sz w:val="24"/>
        </w:rPr>
        <w:t>’s Child Safeguarding Statement. They are the resource persons for any child protection concerns</w:t>
      </w:r>
      <w:r w:rsidRPr="00040974">
        <w:rPr>
          <w:color w:val="535353"/>
          <w:sz w:val="24"/>
        </w:rPr>
        <w:t xml:space="preserve"> </w:t>
      </w:r>
      <w:r>
        <w:rPr>
          <w:color w:val="535353"/>
          <w:sz w:val="24"/>
        </w:rPr>
        <w:t>within</w:t>
      </w:r>
      <w:r w:rsidRPr="00040974">
        <w:rPr>
          <w:color w:val="535353"/>
          <w:sz w:val="24"/>
        </w:rPr>
        <w:t xml:space="preserve"> </w:t>
      </w:r>
      <w:r>
        <w:rPr>
          <w:color w:val="535353"/>
          <w:sz w:val="24"/>
        </w:rPr>
        <w:t>the</w:t>
      </w:r>
      <w:r w:rsidRPr="00040974">
        <w:rPr>
          <w:color w:val="535353"/>
          <w:sz w:val="24"/>
        </w:rPr>
        <w:t xml:space="preserve"> </w:t>
      </w:r>
      <w:r w:rsidR="00040974">
        <w:rPr>
          <w:color w:val="535353"/>
          <w:sz w:val="24"/>
        </w:rPr>
        <w:t>Commission</w:t>
      </w:r>
      <w:r>
        <w:rPr>
          <w:color w:val="535353"/>
          <w:sz w:val="24"/>
        </w:rPr>
        <w:t>.</w:t>
      </w:r>
      <w:r w:rsidRPr="00040974">
        <w:rPr>
          <w:color w:val="535353"/>
          <w:sz w:val="24"/>
        </w:rPr>
        <w:t xml:space="preserve"> </w:t>
      </w:r>
      <w:r>
        <w:rPr>
          <w:color w:val="535353"/>
          <w:sz w:val="24"/>
        </w:rPr>
        <w:t>In</w:t>
      </w:r>
      <w:r w:rsidRPr="00040974">
        <w:rPr>
          <w:color w:val="535353"/>
          <w:sz w:val="24"/>
        </w:rPr>
        <w:t xml:space="preserve"> </w:t>
      </w:r>
      <w:r>
        <w:rPr>
          <w:color w:val="535353"/>
          <w:sz w:val="24"/>
        </w:rPr>
        <w:t>addition,</w:t>
      </w:r>
      <w:r w:rsidRPr="00040974">
        <w:rPr>
          <w:color w:val="535353"/>
          <w:sz w:val="24"/>
        </w:rPr>
        <w:t xml:space="preserve"> </w:t>
      </w:r>
      <w:r>
        <w:rPr>
          <w:color w:val="535353"/>
          <w:sz w:val="24"/>
        </w:rPr>
        <w:t>they</w:t>
      </w:r>
      <w:r w:rsidRPr="00040974">
        <w:rPr>
          <w:color w:val="535353"/>
          <w:sz w:val="24"/>
        </w:rPr>
        <w:t xml:space="preserve"> </w:t>
      </w:r>
      <w:r>
        <w:rPr>
          <w:color w:val="535353"/>
          <w:sz w:val="24"/>
        </w:rPr>
        <w:t>are</w:t>
      </w:r>
      <w:r w:rsidRPr="00040974">
        <w:rPr>
          <w:color w:val="535353"/>
          <w:sz w:val="24"/>
        </w:rPr>
        <w:t xml:space="preserve"> </w:t>
      </w:r>
      <w:r>
        <w:rPr>
          <w:color w:val="535353"/>
          <w:sz w:val="24"/>
        </w:rPr>
        <w:t>responsible</w:t>
      </w:r>
      <w:r w:rsidRPr="00040974">
        <w:rPr>
          <w:color w:val="535353"/>
          <w:sz w:val="24"/>
        </w:rPr>
        <w:t xml:space="preserve"> </w:t>
      </w:r>
      <w:r>
        <w:rPr>
          <w:color w:val="535353"/>
          <w:sz w:val="24"/>
        </w:rPr>
        <w:t>for</w:t>
      </w:r>
      <w:r w:rsidRPr="00040974">
        <w:rPr>
          <w:color w:val="535353"/>
          <w:sz w:val="24"/>
        </w:rPr>
        <w:t xml:space="preserve"> </w:t>
      </w:r>
      <w:r>
        <w:rPr>
          <w:color w:val="535353"/>
          <w:sz w:val="24"/>
        </w:rPr>
        <w:t>ensuring</w:t>
      </w:r>
      <w:r w:rsidRPr="00040974">
        <w:rPr>
          <w:color w:val="535353"/>
          <w:sz w:val="24"/>
        </w:rPr>
        <w:t xml:space="preserve"> </w:t>
      </w:r>
      <w:r>
        <w:rPr>
          <w:color w:val="535353"/>
          <w:sz w:val="24"/>
        </w:rPr>
        <w:t>that reporting procedures within the organisation are followed, so that child welfare and protection concerns are referred promptly to Tusla. They will act as a point of contact</w:t>
      </w:r>
      <w:r w:rsidRPr="00040974">
        <w:rPr>
          <w:color w:val="535353"/>
          <w:sz w:val="24"/>
        </w:rPr>
        <w:t xml:space="preserve"> </w:t>
      </w:r>
      <w:r>
        <w:rPr>
          <w:color w:val="535353"/>
          <w:sz w:val="24"/>
        </w:rPr>
        <w:t>for</w:t>
      </w:r>
      <w:r w:rsidRPr="00040974">
        <w:rPr>
          <w:color w:val="535353"/>
          <w:sz w:val="24"/>
        </w:rPr>
        <w:t xml:space="preserve"> </w:t>
      </w:r>
      <w:r>
        <w:rPr>
          <w:color w:val="535353"/>
          <w:sz w:val="24"/>
        </w:rPr>
        <w:t>reporting</w:t>
      </w:r>
      <w:r w:rsidRPr="00040974">
        <w:rPr>
          <w:color w:val="535353"/>
          <w:sz w:val="24"/>
        </w:rPr>
        <w:t xml:space="preserve"> </w:t>
      </w:r>
      <w:r>
        <w:rPr>
          <w:color w:val="535353"/>
          <w:sz w:val="24"/>
        </w:rPr>
        <w:t>child</w:t>
      </w:r>
      <w:r w:rsidRPr="00040974">
        <w:rPr>
          <w:color w:val="535353"/>
          <w:sz w:val="24"/>
        </w:rPr>
        <w:t xml:space="preserve"> </w:t>
      </w:r>
      <w:r>
        <w:rPr>
          <w:color w:val="535353"/>
          <w:sz w:val="24"/>
        </w:rPr>
        <w:t>protection</w:t>
      </w:r>
      <w:r w:rsidRPr="00040974">
        <w:rPr>
          <w:color w:val="535353"/>
          <w:sz w:val="24"/>
        </w:rPr>
        <w:t xml:space="preserve"> </w:t>
      </w:r>
      <w:r>
        <w:rPr>
          <w:color w:val="535353"/>
          <w:sz w:val="24"/>
        </w:rPr>
        <w:t>concerns</w:t>
      </w:r>
      <w:r w:rsidRPr="00040974">
        <w:rPr>
          <w:color w:val="535353"/>
          <w:sz w:val="24"/>
        </w:rPr>
        <w:t xml:space="preserve"> </w:t>
      </w:r>
      <w:r>
        <w:rPr>
          <w:color w:val="535353"/>
          <w:sz w:val="24"/>
        </w:rPr>
        <w:t>and</w:t>
      </w:r>
      <w:r w:rsidRPr="00040974">
        <w:rPr>
          <w:color w:val="535353"/>
          <w:sz w:val="24"/>
        </w:rPr>
        <w:t xml:space="preserve"> </w:t>
      </w:r>
      <w:r>
        <w:rPr>
          <w:color w:val="535353"/>
          <w:sz w:val="24"/>
        </w:rPr>
        <w:t>will</w:t>
      </w:r>
      <w:r w:rsidRPr="00040974">
        <w:rPr>
          <w:color w:val="535353"/>
          <w:sz w:val="24"/>
        </w:rPr>
        <w:t xml:space="preserve"> </w:t>
      </w:r>
      <w:r>
        <w:rPr>
          <w:color w:val="535353"/>
          <w:sz w:val="24"/>
        </w:rPr>
        <w:t>liaise</w:t>
      </w:r>
      <w:r w:rsidRPr="00040974">
        <w:rPr>
          <w:color w:val="535353"/>
          <w:sz w:val="24"/>
        </w:rPr>
        <w:t xml:space="preserve"> </w:t>
      </w:r>
      <w:r>
        <w:rPr>
          <w:color w:val="535353"/>
          <w:sz w:val="24"/>
        </w:rPr>
        <w:t>with</w:t>
      </w:r>
      <w:r w:rsidRPr="00040974">
        <w:rPr>
          <w:color w:val="535353"/>
          <w:sz w:val="24"/>
        </w:rPr>
        <w:t xml:space="preserve"> </w:t>
      </w:r>
      <w:r>
        <w:rPr>
          <w:color w:val="535353"/>
          <w:sz w:val="24"/>
        </w:rPr>
        <w:t>outside</w:t>
      </w:r>
      <w:r w:rsidRPr="00040974">
        <w:rPr>
          <w:color w:val="535353"/>
          <w:sz w:val="24"/>
        </w:rPr>
        <w:t xml:space="preserve"> </w:t>
      </w:r>
      <w:r>
        <w:rPr>
          <w:color w:val="535353"/>
          <w:sz w:val="24"/>
        </w:rPr>
        <w:t>agencies, as</w:t>
      </w:r>
      <w:r w:rsidRPr="00040974">
        <w:rPr>
          <w:color w:val="535353"/>
          <w:sz w:val="24"/>
        </w:rPr>
        <w:t xml:space="preserve"> </w:t>
      </w:r>
      <w:r>
        <w:rPr>
          <w:color w:val="535353"/>
          <w:sz w:val="24"/>
        </w:rPr>
        <w:t>required.</w:t>
      </w:r>
    </w:p>
    <w:p w14:paraId="233E89B0" w14:textId="65BD5D89" w:rsidR="00040974" w:rsidRDefault="00040974" w:rsidP="00040974">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169D4C40" w14:textId="77777777" w:rsidR="00597382" w:rsidRPr="00040974" w:rsidRDefault="00597382" w:rsidP="00040974">
      <w:pPr>
        <w:pStyle w:val="Heading2"/>
      </w:pPr>
      <w:bookmarkStart w:id="6" w:name="_bookmark17"/>
      <w:bookmarkEnd w:id="6"/>
      <w:r w:rsidRPr="00040974">
        <w:t>Training and awareness raising</w:t>
      </w:r>
    </w:p>
    <w:p w14:paraId="2B82E83A" w14:textId="6A927759" w:rsidR="00597382" w:rsidRDefault="00597382" w:rsidP="00040974">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The DLP and Deputy DLP along with other relevant staff will receive training in the application</w:t>
      </w:r>
      <w:r w:rsidRPr="00040974">
        <w:rPr>
          <w:color w:val="535353"/>
          <w:sz w:val="24"/>
        </w:rPr>
        <w:t xml:space="preserve"> </w:t>
      </w:r>
      <w:r>
        <w:rPr>
          <w:color w:val="535353"/>
          <w:sz w:val="24"/>
        </w:rPr>
        <w:t>of</w:t>
      </w:r>
      <w:r w:rsidRPr="00040974">
        <w:rPr>
          <w:color w:val="535353"/>
          <w:sz w:val="24"/>
        </w:rPr>
        <w:t xml:space="preserve"> </w:t>
      </w:r>
      <w:r>
        <w:rPr>
          <w:color w:val="535353"/>
          <w:sz w:val="24"/>
        </w:rPr>
        <w:t>the</w:t>
      </w:r>
      <w:r w:rsidRPr="00040974">
        <w:rPr>
          <w:color w:val="535353"/>
          <w:sz w:val="24"/>
        </w:rPr>
        <w:t xml:space="preserve"> </w:t>
      </w:r>
      <w:r>
        <w:rPr>
          <w:color w:val="535353"/>
          <w:sz w:val="24"/>
        </w:rPr>
        <w:t>Children</w:t>
      </w:r>
      <w:r w:rsidRPr="00040974">
        <w:rPr>
          <w:color w:val="535353"/>
          <w:sz w:val="24"/>
        </w:rPr>
        <w:t xml:space="preserve"> </w:t>
      </w:r>
      <w:r>
        <w:rPr>
          <w:color w:val="535353"/>
          <w:sz w:val="24"/>
        </w:rPr>
        <w:t>First</w:t>
      </w:r>
      <w:r w:rsidRPr="00040974">
        <w:rPr>
          <w:color w:val="535353"/>
          <w:sz w:val="24"/>
        </w:rPr>
        <w:t xml:space="preserve"> </w:t>
      </w:r>
      <w:r>
        <w:rPr>
          <w:color w:val="535353"/>
          <w:sz w:val="24"/>
        </w:rPr>
        <w:t>Act</w:t>
      </w:r>
      <w:r w:rsidRPr="00040974">
        <w:rPr>
          <w:color w:val="535353"/>
          <w:sz w:val="24"/>
        </w:rPr>
        <w:t xml:space="preserve"> </w:t>
      </w:r>
      <w:r>
        <w:rPr>
          <w:color w:val="535353"/>
          <w:sz w:val="24"/>
        </w:rPr>
        <w:t>2015</w:t>
      </w:r>
      <w:r w:rsidRPr="00040974">
        <w:rPr>
          <w:color w:val="535353"/>
          <w:sz w:val="24"/>
        </w:rPr>
        <w:t xml:space="preserve"> </w:t>
      </w:r>
      <w:r>
        <w:rPr>
          <w:color w:val="535353"/>
          <w:sz w:val="24"/>
        </w:rPr>
        <w:t>and</w:t>
      </w:r>
      <w:r w:rsidRPr="00040974">
        <w:rPr>
          <w:color w:val="535353"/>
          <w:sz w:val="24"/>
        </w:rPr>
        <w:t xml:space="preserve"> </w:t>
      </w:r>
      <w:r>
        <w:rPr>
          <w:color w:val="535353"/>
          <w:sz w:val="24"/>
        </w:rPr>
        <w:t>the</w:t>
      </w:r>
      <w:r w:rsidRPr="00040974">
        <w:rPr>
          <w:color w:val="535353"/>
          <w:sz w:val="24"/>
        </w:rPr>
        <w:t xml:space="preserve"> </w:t>
      </w:r>
      <w:r>
        <w:rPr>
          <w:color w:val="535353"/>
          <w:sz w:val="24"/>
        </w:rPr>
        <w:t>Children</w:t>
      </w:r>
      <w:r w:rsidRPr="00040974">
        <w:rPr>
          <w:color w:val="535353"/>
          <w:sz w:val="24"/>
        </w:rPr>
        <w:t xml:space="preserve"> </w:t>
      </w:r>
      <w:r>
        <w:rPr>
          <w:color w:val="535353"/>
          <w:sz w:val="24"/>
        </w:rPr>
        <w:t>First</w:t>
      </w:r>
      <w:r w:rsidRPr="00040974">
        <w:rPr>
          <w:color w:val="535353"/>
          <w:sz w:val="24"/>
        </w:rPr>
        <w:t xml:space="preserve"> </w:t>
      </w:r>
      <w:r>
        <w:rPr>
          <w:color w:val="535353"/>
          <w:sz w:val="24"/>
        </w:rPr>
        <w:t>National</w:t>
      </w:r>
      <w:r w:rsidRPr="00040974">
        <w:rPr>
          <w:color w:val="535353"/>
          <w:sz w:val="24"/>
        </w:rPr>
        <w:t xml:space="preserve"> </w:t>
      </w:r>
      <w:r>
        <w:rPr>
          <w:color w:val="535353"/>
          <w:sz w:val="24"/>
        </w:rPr>
        <w:t>Guidance</w:t>
      </w:r>
      <w:r w:rsidRPr="00040974">
        <w:rPr>
          <w:color w:val="535353"/>
          <w:sz w:val="24"/>
        </w:rPr>
        <w:t xml:space="preserve">. </w:t>
      </w:r>
      <w:r>
        <w:rPr>
          <w:color w:val="535353"/>
          <w:sz w:val="24"/>
        </w:rPr>
        <w:t>This will include the requirement to complete the</w:t>
      </w:r>
      <w:r w:rsidRPr="00040974">
        <w:rPr>
          <w:color w:val="535353"/>
          <w:sz w:val="24"/>
        </w:rPr>
        <w:t xml:space="preserve"> </w:t>
      </w:r>
      <w:hyperlink r:id="rId11">
        <w:r w:rsidRPr="00040974">
          <w:rPr>
            <w:color w:val="535353"/>
            <w:sz w:val="24"/>
          </w:rPr>
          <w:t>Children First E-Learning</w:t>
        </w:r>
      </w:hyperlink>
      <w:hyperlink r:id="rId12">
        <w:r w:rsidRPr="00040974">
          <w:rPr>
            <w:color w:val="535353"/>
            <w:sz w:val="24"/>
          </w:rPr>
          <w:t xml:space="preserve"> Programme</w:t>
        </w:r>
      </w:hyperlink>
      <w:r>
        <w:rPr>
          <w:color w:val="535353"/>
          <w:sz w:val="24"/>
        </w:rPr>
        <w:t>.</w:t>
      </w:r>
    </w:p>
    <w:p w14:paraId="0FF992BD" w14:textId="77777777" w:rsidR="00040974" w:rsidRPr="00040974" w:rsidRDefault="00040974" w:rsidP="00040974">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5813BCA8" w14:textId="3CD6F4A5" w:rsidR="00597382" w:rsidRDefault="00597382" w:rsidP="00040974">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The</w:t>
      </w:r>
      <w:r w:rsidRPr="00040974">
        <w:rPr>
          <w:color w:val="535353"/>
          <w:sz w:val="24"/>
        </w:rPr>
        <w:t xml:space="preserve"> </w:t>
      </w:r>
      <w:r w:rsidR="00040974">
        <w:rPr>
          <w:color w:val="535353"/>
          <w:sz w:val="24"/>
        </w:rPr>
        <w:t>Commission</w:t>
      </w:r>
      <w:r>
        <w:rPr>
          <w:color w:val="535353"/>
          <w:sz w:val="24"/>
        </w:rPr>
        <w:t>’s</w:t>
      </w:r>
      <w:r w:rsidRPr="00040974">
        <w:rPr>
          <w:color w:val="535353"/>
          <w:sz w:val="24"/>
        </w:rPr>
        <w:t xml:space="preserve"> </w:t>
      </w:r>
      <w:r>
        <w:rPr>
          <w:color w:val="535353"/>
          <w:sz w:val="24"/>
        </w:rPr>
        <w:t>Sectoral</w:t>
      </w:r>
      <w:r w:rsidRPr="00040974">
        <w:rPr>
          <w:color w:val="535353"/>
          <w:sz w:val="24"/>
        </w:rPr>
        <w:t xml:space="preserve"> </w:t>
      </w:r>
      <w:r>
        <w:rPr>
          <w:color w:val="535353"/>
          <w:sz w:val="24"/>
        </w:rPr>
        <w:t>Implementation</w:t>
      </w:r>
      <w:r w:rsidRPr="00040974">
        <w:rPr>
          <w:color w:val="535353"/>
          <w:sz w:val="24"/>
        </w:rPr>
        <w:t xml:space="preserve"> </w:t>
      </w:r>
      <w:r>
        <w:rPr>
          <w:color w:val="535353"/>
          <w:sz w:val="24"/>
        </w:rPr>
        <w:t>Plan</w:t>
      </w:r>
      <w:r w:rsidRPr="00040974">
        <w:rPr>
          <w:color w:val="535353"/>
          <w:sz w:val="24"/>
        </w:rPr>
        <w:t xml:space="preserve"> </w:t>
      </w:r>
      <w:r>
        <w:rPr>
          <w:color w:val="535353"/>
          <w:sz w:val="24"/>
        </w:rPr>
        <w:t>and</w:t>
      </w:r>
      <w:r w:rsidRPr="00040974">
        <w:rPr>
          <w:color w:val="535353"/>
          <w:sz w:val="24"/>
        </w:rPr>
        <w:t xml:space="preserve"> </w:t>
      </w:r>
      <w:r>
        <w:rPr>
          <w:color w:val="535353"/>
          <w:sz w:val="24"/>
        </w:rPr>
        <w:t>Child</w:t>
      </w:r>
      <w:r w:rsidRPr="00040974">
        <w:rPr>
          <w:color w:val="535353"/>
          <w:sz w:val="24"/>
        </w:rPr>
        <w:t xml:space="preserve"> </w:t>
      </w:r>
      <w:r>
        <w:rPr>
          <w:color w:val="535353"/>
          <w:sz w:val="24"/>
        </w:rPr>
        <w:t>Safeguarding</w:t>
      </w:r>
      <w:r w:rsidRPr="00040974">
        <w:rPr>
          <w:color w:val="535353"/>
          <w:sz w:val="24"/>
        </w:rPr>
        <w:t xml:space="preserve"> </w:t>
      </w:r>
      <w:r>
        <w:rPr>
          <w:color w:val="535353"/>
          <w:sz w:val="24"/>
        </w:rPr>
        <w:t>Statement will be central to raising awareness among staff of: (i) who the designated liaison persons are, (ii) the procedures they should follow in the event of their having concerns</w:t>
      </w:r>
      <w:r w:rsidRPr="00040974">
        <w:rPr>
          <w:color w:val="535353"/>
          <w:sz w:val="24"/>
        </w:rPr>
        <w:t xml:space="preserve"> </w:t>
      </w:r>
      <w:r>
        <w:rPr>
          <w:color w:val="535353"/>
          <w:sz w:val="24"/>
        </w:rPr>
        <w:t>about</w:t>
      </w:r>
      <w:r w:rsidRPr="00040974">
        <w:rPr>
          <w:color w:val="535353"/>
          <w:sz w:val="24"/>
        </w:rPr>
        <w:t xml:space="preserve"> </w:t>
      </w:r>
      <w:r>
        <w:rPr>
          <w:color w:val="535353"/>
          <w:sz w:val="24"/>
        </w:rPr>
        <w:t>the</w:t>
      </w:r>
      <w:r w:rsidRPr="00040974">
        <w:rPr>
          <w:color w:val="535353"/>
          <w:sz w:val="24"/>
        </w:rPr>
        <w:t xml:space="preserve"> </w:t>
      </w:r>
      <w:r>
        <w:rPr>
          <w:color w:val="535353"/>
          <w:sz w:val="24"/>
        </w:rPr>
        <w:t>well-being</w:t>
      </w:r>
      <w:r w:rsidRPr="00040974">
        <w:rPr>
          <w:color w:val="535353"/>
          <w:sz w:val="24"/>
        </w:rPr>
        <w:t xml:space="preserve"> </w:t>
      </w:r>
      <w:r>
        <w:rPr>
          <w:color w:val="535353"/>
          <w:sz w:val="24"/>
        </w:rPr>
        <w:t>of</w:t>
      </w:r>
      <w:r w:rsidRPr="00040974">
        <w:rPr>
          <w:color w:val="535353"/>
          <w:sz w:val="24"/>
        </w:rPr>
        <w:t xml:space="preserve"> </w:t>
      </w:r>
      <w:r>
        <w:rPr>
          <w:color w:val="535353"/>
          <w:sz w:val="24"/>
        </w:rPr>
        <w:t>children</w:t>
      </w:r>
      <w:r w:rsidRPr="00040974">
        <w:rPr>
          <w:color w:val="535353"/>
          <w:sz w:val="24"/>
        </w:rPr>
        <w:t xml:space="preserve"> </w:t>
      </w:r>
      <w:r>
        <w:rPr>
          <w:color w:val="535353"/>
          <w:sz w:val="24"/>
        </w:rPr>
        <w:t>with</w:t>
      </w:r>
      <w:r w:rsidRPr="00040974">
        <w:rPr>
          <w:color w:val="535353"/>
          <w:sz w:val="24"/>
        </w:rPr>
        <w:t xml:space="preserve"> </w:t>
      </w:r>
      <w:r>
        <w:rPr>
          <w:color w:val="535353"/>
          <w:sz w:val="24"/>
        </w:rPr>
        <w:t>whom</w:t>
      </w:r>
      <w:r w:rsidRPr="00040974">
        <w:rPr>
          <w:color w:val="535353"/>
          <w:sz w:val="24"/>
        </w:rPr>
        <w:t xml:space="preserve"> </w:t>
      </w:r>
      <w:r>
        <w:rPr>
          <w:color w:val="535353"/>
          <w:sz w:val="24"/>
        </w:rPr>
        <w:t>they</w:t>
      </w:r>
      <w:r w:rsidRPr="00040974">
        <w:rPr>
          <w:color w:val="535353"/>
          <w:sz w:val="24"/>
        </w:rPr>
        <w:t xml:space="preserve"> </w:t>
      </w:r>
      <w:r>
        <w:rPr>
          <w:color w:val="535353"/>
          <w:sz w:val="24"/>
        </w:rPr>
        <w:t>interact</w:t>
      </w:r>
      <w:r w:rsidRPr="00040974">
        <w:rPr>
          <w:color w:val="535353"/>
          <w:sz w:val="24"/>
        </w:rPr>
        <w:t xml:space="preserve"> </w:t>
      </w:r>
      <w:r>
        <w:rPr>
          <w:color w:val="535353"/>
          <w:sz w:val="24"/>
        </w:rPr>
        <w:t>in</w:t>
      </w:r>
      <w:r w:rsidRPr="00040974">
        <w:rPr>
          <w:color w:val="535353"/>
          <w:sz w:val="24"/>
        </w:rPr>
        <w:t xml:space="preserve"> </w:t>
      </w:r>
      <w:r>
        <w:rPr>
          <w:color w:val="535353"/>
          <w:sz w:val="24"/>
        </w:rPr>
        <w:t>the</w:t>
      </w:r>
      <w:r w:rsidRPr="00040974">
        <w:rPr>
          <w:color w:val="535353"/>
          <w:sz w:val="24"/>
        </w:rPr>
        <w:t xml:space="preserve"> </w:t>
      </w:r>
      <w:r>
        <w:rPr>
          <w:color w:val="535353"/>
          <w:sz w:val="24"/>
        </w:rPr>
        <w:t xml:space="preserve">provision of the </w:t>
      </w:r>
      <w:r w:rsidR="00040974">
        <w:rPr>
          <w:color w:val="535353"/>
          <w:sz w:val="24"/>
        </w:rPr>
        <w:t>Commission</w:t>
      </w:r>
      <w:r>
        <w:rPr>
          <w:color w:val="535353"/>
          <w:sz w:val="24"/>
        </w:rPr>
        <w:t>’s services, and (iii) the obligations on them to report these concerns.</w:t>
      </w:r>
    </w:p>
    <w:p w14:paraId="408317D3" w14:textId="02CF7B61" w:rsidR="00040974" w:rsidRDefault="00040974" w:rsidP="00040974">
      <w:pPr>
        <w:pStyle w:val="ListParagraph"/>
        <w:rPr>
          <w:color w:val="535353"/>
          <w:sz w:val="24"/>
        </w:rPr>
      </w:pPr>
    </w:p>
    <w:p w14:paraId="6CBCEC89" w14:textId="77777777" w:rsidR="00E41BED" w:rsidRPr="00040974" w:rsidRDefault="00E41BED" w:rsidP="00040974">
      <w:pPr>
        <w:pStyle w:val="ListParagraph"/>
        <w:rPr>
          <w:color w:val="535353"/>
          <w:sz w:val="24"/>
        </w:rPr>
      </w:pPr>
    </w:p>
    <w:p w14:paraId="79D855ED" w14:textId="121FEC71" w:rsidR="00597382" w:rsidRPr="00E41BED" w:rsidRDefault="00597382" w:rsidP="00863FC5">
      <w:pPr>
        <w:pStyle w:val="ListParagraph"/>
        <w:widowControl w:val="0"/>
        <w:numPr>
          <w:ilvl w:val="1"/>
          <w:numId w:val="19"/>
        </w:numPr>
        <w:tabs>
          <w:tab w:val="left" w:pos="1121"/>
        </w:tabs>
        <w:autoSpaceDE w:val="0"/>
        <w:autoSpaceDN w:val="0"/>
        <w:spacing w:before="22" w:after="0" w:line="259" w:lineRule="auto"/>
        <w:ind w:right="113"/>
        <w:contextualSpacing w:val="0"/>
        <w:jc w:val="both"/>
      </w:pPr>
      <w:r w:rsidRPr="00E41BED">
        <w:rPr>
          <w:color w:val="535353"/>
          <w:sz w:val="24"/>
        </w:rPr>
        <w:t xml:space="preserve">The </w:t>
      </w:r>
      <w:r w:rsidR="00040974" w:rsidRPr="00E41BED">
        <w:rPr>
          <w:color w:val="535353"/>
          <w:sz w:val="24"/>
        </w:rPr>
        <w:t>Tax Appeals Commission</w:t>
      </w:r>
      <w:r w:rsidRPr="00E41BED">
        <w:rPr>
          <w:color w:val="535353"/>
          <w:sz w:val="24"/>
        </w:rPr>
        <w:t xml:space="preserve"> will continue to identify and develop relevant induction and training initiatives that are appropriate and proportionate to the nature and level of the </w:t>
      </w:r>
      <w:r w:rsidR="00E41BED" w:rsidRPr="00E41BED">
        <w:rPr>
          <w:color w:val="535353"/>
          <w:sz w:val="24"/>
        </w:rPr>
        <w:t>Commission</w:t>
      </w:r>
      <w:r w:rsidRPr="00E41BED">
        <w:rPr>
          <w:color w:val="535353"/>
          <w:sz w:val="24"/>
        </w:rPr>
        <w:t>’s interaction with children.</w:t>
      </w:r>
    </w:p>
    <w:p w14:paraId="6DBE59BB" w14:textId="77777777" w:rsidR="00E41BED" w:rsidRDefault="00E41BED" w:rsidP="00E41BED">
      <w:pPr>
        <w:pStyle w:val="ListParagraph"/>
        <w:widowControl w:val="0"/>
        <w:tabs>
          <w:tab w:val="left" w:pos="1121"/>
        </w:tabs>
        <w:autoSpaceDE w:val="0"/>
        <w:autoSpaceDN w:val="0"/>
        <w:spacing w:before="22" w:after="0" w:line="259" w:lineRule="auto"/>
        <w:ind w:left="1120" w:right="113"/>
        <w:contextualSpacing w:val="0"/>
        <w:jc w:val="both"/>
      </w:pPr>
    </w:p>
    <w:p w14:paraId="7B656153" w14:textId="77777777" w:rsidR="00597382" w:rsidRPr="00E41BED" w:rsidRDefault="00597382" w:rsidP="00E41BED">
      <w:pPr>
        <w:pStyle w:val="Heading2"/>
      </w:pPr>
      <w:bookmarkStart w:id="7" w:name="_bookmark18"/>
      <w:bookmarkEnd w:id="7"/>
      <w:r w:rsidRPr="00E41BED">
        <w:t>Recruitment/vetting procedures</w:t>
      </w:r>
    </w:p>
    <w:p w14:paraId="7B53B3A5" w14:textId="19C36A21" w:rsidR="00597382" w:rsidRPr="00E41BED" w:rsidRDefault="00597382" w:rsidP="00E41BED">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All successful applicants to the Civil Service are vetted through a process operated by the Public Appointment Service. Existing officers are subject to the</w:t>
      </w:r>
      <w:r w:rsidRPr="00E41BED">
        <w:rPr>
          <w:color w:val="535353"/>
          <w:sz w:val="24"/>
        </w:rPr>
        <w:t xml:space="preserve"> </w:t>
      </w:r>
      <w:hyperlink r:id="rId13">
        <w:r w:rsidRPr="00E41BED">
          <w:rPr>
            <w:color w:val="535353"/>
            <w:sz w:val="24"/>
          </w:rPr>
          <w:t>Civil Service</w:t>
        </w:r>
      </w:hyperlink>
      <w:hyperlink r:id="rId14">
        <w:r w:rsidRPr="00E41BED">
          <w:rPr>
            <w:color w:val="535353"/>
            <w:sz w:val="24"/>
          </w:rPr>
          <w:t xml:space="preserve"> Code of Standards and Behaviour</w:t>
        </w:r>
        <w:r>
          <w:rPr>
            <w:color w:val="535353"/>
            <w:sz w:val="24"/>
          </w:rPr>
          <w:t>.</w:t>
        </w:r>
      </w:hyperlink>
    </w:p>
    <w:p w14:paraId="78CB3BC4" w14:textId="77777777" w:rsidR="00E41BED" w:rsidRDefault="00E41BED" w:rsidP="00E41BED">
      <w:pPr>
        <w:pStyle w:val="ListParagraph"/>
        <w:widowControl w:val="0"/>
        <w:tabs>
          <w:tab w:val="left" w:pos="781"/>
        </w:tabs>
        <w:autoSpaceDE w:val="0"/>
        <w:autoSpaceDN w:val="0"/>
        <w:spacing w:before="23" w:after="0" w:line="259" w:lineRule="auto"/>
        <w:ind w:left="780" w:right="115"/>
        <w:contextualSpacing w:val="0"/>
        <w:jc w:val="both"/>
        <w:rPr>
          <w:sz w:val="24"/>
        </w:rPr>
      </w:pPr>
    </w:p>
    <w:p w14:paraId="4793512C" w14:textId="77777777" w:rsidR="00597382" w:rsidRPr="00FF0035" w:rsidRDefault="00597382" w:rsidP="00FF0035">
      <w:pPr>
        <w:pStyle w:val="Heading2"/>
      </w:pPr>
      <w:bookmarkStart w:id="8" w:name="_bookmark19"/>
      <w:bookmarkStart w:id="9" w:name="_bookmark20"/>
      <w:bookmarkEnd w:id="8"/>
      <w:bookmarkEnd w:id="9"/>
      <w:r w:rsidRPr="00FF0035">
        <w:t>External service providers</w:t>
      </w:r>
    </w:p>
    <w:p w14:paraId="799DD814" w14:textId="34CC1B10" w:rsidR="00597382" w:rsidRDefault="00597382" w:rsidP="00FF0035">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 xml:space="preserve">Where the </w:t>
      </w:r>
      <w:r w:rsidR="00FF0035">
        <w:rPr>
          <w:color w:val="535353"/>
          <w:sz w:val="24"/>
        </w:rPr>
        <w:t>Tax Appeals Commission</w:t>
      </w:r>
      <w:r>
        <w:rPr>
          <w:color w:val="535353"/>
          <w:sz w:val="24"/>
        </w:rPr>
        <w:t xml:space="preserve"> contracts external services to service providers who may come into unsupervised contact with children in providing such service to the </w:t>
      </w:r>
      <w:r w:rsidR="00FF0035">
        <w:rPr>
          <w:color w:val="535353"/>
          <w:sz w:val="24"/>
        </w:rPr>
        <w:t>Commission</w:t>
      </w:r>
      <w:r>
        <w:rPr>
          <w:color w:val="535353"/>
          <w:sz w:val="24"/>
        </w:rPr>
        <w:t>, the service providers will be advised that they are subject to the requirem</w:t>
      </w:r>
      <w:r w:rsidR="00FF0035">
        <w:rPr>
          <w:color w:val="535353"/>
          <w:sz w:val="24"/>
        </w:rPr>
        <w:t>ents of the Children First Act.</w:t>
      </w:r>
    </w:p>
    <w:p w14:paraId="3D57A1BA" w14:textId="77777777" w:rsidR="00FF0035" w:rsidRPr="00FF0035" w:rsidRDefault="00FF0035" w:rsidP="00FF0035">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377761F7" w14:textId="77777777" w:rsidR="00597382" w:rsidRPr="00D46EF7" w:rsidRDefault="00597382" w:rsidP="00D46EF7">
      <w:pPr>
        <w:pStyle w:val="Heading2"/>
      </w:pPr>
      <w:bookmarkStart w:id="10" w:name="_bookmark21"/>
      <w:bookmarkEnd w:id="10"/>
      <w:r w:rsidRPr="00D46EF7">
        <w:t>Annual Compliance Report</w:t>
      </w:r>
    </w:p>
    <w:p w14:paraId="79F60D61" w14:textId="64993735" w:rsidR="00597382" w:rsidRDefault="00597382" w:rsidP="00D46EF7">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 xml:space="preserve">An annual compliance report will be prepared for submission to </w:t>
      </w:r>
      <w:r w:rsidR="00D46EF7">
        <w:rPr>
          <w:color w:val="535353"/>
          <w:sz w:val="24"/>
        </w:rPr>
        <w:t>senior management</w:t>
      </w:r>
      <w:r>
        <w:rPr>
          <w:color w:val="535353"/>
          <w:sz w:val="24"/>
        </w:rPr>
        <w:t xml:space="preserve">. The report will set out any relevant activity for the preceding year, including details of the </w:t>
      </w:r>
      <w:r w:rsidR="00D46EF7">
        <w:rPr>
          <w:color w:val="535353"/>
          <w:sz w:val="24"/>
        </w:rPr>
        <w:t>Commission</w:t>
      </w:r>
      <w:r>
        <w:rPr>
          <w:color w:val="535353"/>
          <w:sz w:val="24"/>
        </w:rPr>
        <w:t>’s designated</w:t>
      </w:r>
      <w:r w:rsidRPr="00D46EF7">
        <w:rPr>
          <w:color w:val="535353"/>
          <w:sz w:val="24"/>
        </w:rPr>
        <w:t xml:space="preserve"> </w:t>
      </w:r>
      <w:r>
        <w:rPr>
          <w:color w:val="535353"/>
          <w:sz w:val="24"/>
        </w:rPr>
        <w:t>liaison</w:t>
      </w:r>
      <w:r w:rsidRPr="00D46EF7">
        <w:rPr>
          <w:color w:val="535353"/>
          <w:sz w:val="24"/>
        </w:rPr>
        <w:t xml:space="preserve"> </w:t>
      </w:r>
      <w:r>
        <w:rPr>
          <w:color w:val="535353"/>
          <w:sz w:val="24"/>
        </w:rPr>
        <w:t>persons,</w:t>
      </w:r>
      <w:r w:rsidRPr="00D46EF7">
        <w:rPr>
          <w:color w:val="535353"/>
          <w:sz w:val="24"/>
        </w:rPr>
        <w:t xml:space="preserve"> </w:t>
      </w:r>
      <w:r>
        <w:rPr>
          <w:color w:val="535353"/>
          <w:sz w:val="24"/>
        </w:rPr>
        <w:t>training</w:t>
      </w:r>
      <w:r w:rsidRPr="00D46EF7">
        <w:rPr>
          <w:color w:val="535353"/>
          <w:sz w:val="24"/>
        </w:rPr>
        <w:t xml:space="preserve"> </w:t>
      </w:r>
      <w:r>
        <w:rPr>
          <w:color w:val="535353"/>
          <w:sz w:val="24"/>
        </w:rPr>
        <w:t>provided,</w:t>
      </w:r>
      <w:r w:rsidRPr="00D46EF7">
        <w:rPr>
          <w:color w:val="535353"/>
          <w:sz w:val="24"/>
        </w:rPr>
        <w:t xml:space="preserve"> </w:t>
      </w:r>
      <w:r>
        <w:rPr>
          <w:color w:val="535353"/>
          <w:sz w:val="24"/>
        </w:rPr>
        <w:t>number</w:t>
      </w:r>
      <w:r w:rsidRPr="00D46EF7">
        <w:rPr>
          <w:color w:val="535353"/>
          <w:sz w:val="24"/>
        </w:rPr>
        <w:t xml:space="preserve"> </w:t>
      </w:r>
      <w:r>
        <w:rPr>
          <w:color w:val="535353"/>
          <w:sz w:val="24"/>
        </w:rPr>
        <w:t>of</w:t>
      </w:r>
      <w:r w:rsidRPr="00D46EF7">
        <w:rPr>
          <w:color w:val="535353"/>
          <w:sz w:val="24"/>
        </w:rPr>
        <w:t xml:space="preserve"> </w:t>
      </w:r>
      <w:r>
        <w:rPr>
          <w:color w:val="535353"/>
          <w:sz w:val="24"/>
        </w:rPr>
        <w:t>reports,</w:t>
      </w:r>
      <w:r w:rsidRPr="00D46EF7">
        <w:rPr>
          <w:color w:val="535353"/>
          <w:sz w:val="24"/>
        </w:rPr>
        <w:t xml:space="preserve"> </w:t>
      </w:r>
      <w:r>
        <w:rPr>
          <w:color w:val="535353"/>
          <w:sz w:val="24"/>
        </w:rPr>
        <w:t>if</w:t>
      </w:r>
      <w:r w:rsidRPr="00D46EF7">
        <w:rPr>
          <w:color w:val="535353"/>
          <w:sz w:val="24"/>
        </w:rPr>
        <w:t xml:space="preserve"> </w:t>
      </w:r>
      <w:r>
        <w:rPr>
          <w:color w:val="535353"/>
          <w:sz w:val="24"/>
        </w:rPr>
        <w:t>any,</w:t>
      </w:r>
      <w:r w:rsidRPr="00D46EF7">
        <w:rPr>
          <w:color w:val="535353"/>
          <w:sz w:val="24"/>
        </w:rPr>
        <w:t xml:space="preserve"> </w:t>
      </w:r>
      <w:r>
        <w:rPr>
          <w:color w:val="535353"/>
          <w:sz w:val="24"/>
        </w:rPr>
        <w:t xml:space="preserve">submitted to Tusla and an assessment of </w:t>
      </w:r>
      <w:r w:rsidR="00D46EF7">
        <w:rPr>
          <w:color w:val="535353"/>
          <w:sz w:val="24"/>
        </w:rPr>
        <w:t xml:space="preserve">any </w:t>
      </w:r>
      <w:r>
        <w:rPr>
          <w:color w:val="535353"/>
          <w:sz w:val="24"/>
        </w:rPr>
        <w:t>issues of concern.</w:t>
      </w:r>
    </w:p>
    <w:p w14:paraId="5EAAF373" w14:textId="77777777" w:rsidR="00D46EF7" w:rsidRPr="00D46EF7" w:rsidRDefault="00D46EF7" w:rsidP="00D46EF7">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6F6C3B78" w14:textId="77777777" w:rsidR="00597382" w:rsidRPr="00907982" w:rsidRDefault="00597382" w:rsidP="00907982">
      <w:pPr>
        <w:pStyle w:val="Heading2"/>
      </w:pPr>
      <w:bookmarkStart w:id="11" w:name="_bookmark22"/>
      <w:bookmarkEnd w:id="11"/>
      <w:r w:rsidRPr="00907982">
        <w:t>Review</w:t>
      </w:r>
    </w:p>
    <w:p w14:paraId="263266E7" w14:textId="3682BE64" w:rsidR="00597382" w:rsidRDefault="00597382" w:rsidP="00907982">
      <w:pPr>
        <w:pStyle w:val="ListParagraph"/>
        <w:widowControl w:val="0"/>
        <w:numPr>
          <w:ilvl w:val="1"/>
          <w:numId w:val="19"/>
        </w:numPr>
        <w:tabs>
          <w:tab w:val="left" w:pos="1121"/>
        </w:tabs>
        <w:autoSpaceDE w:val="0"/>
        <w:autoSpaceDN w:val="0"/>
        <w:spacing w:before="22" w:after="0" w:line="259" w:lineRule="auto"/>
        <w:ind w:right="113"/>
        <w:contextualSpacing w:val="0"/>
        <w:jc w:val="both"/>
        <w:rPr>
          <w:color w:val="535353"/>
          <w:sz w:val="24"/>
        </w:rPr>
      </w:pPr>
      <w:r>
        <w:rPr>
          <w:color w:val="535353"/>
          <w:sz w:val="24"/>
        </w:rPr>
        <w:t xml:space="preserve">As previously noted, this Sectoral Implementation Plan will be reviewed every three years or more regularly as necessary. The </w:t>
      </w:r>
      <w:r w:rsidR="00907982">
        <w:rPr>
          <w:color w:val="535353"/>
          <w:sz w:val="24"/>
        </w:rPr>
        <w:t>Commission</w:t>
      </w:r>
      <w:r>
        <w:rPr>
          <w:color w:val="535353"/>
          <w:sz w:val="24"/>
        </w:rPr>
        <w:t>’s Child Safeguarding Statement will be reviewed every two years, or more regularly as</w:t>
      </w:r>
      <w:r w:rsidRPr="00907982">
        <w:rPr>
          <w:color w:val="535353"/>
          <w:sz w:val="24"/>
        </w:rPr>
        <w:t xml:space="preserve"> </w:t>
      </w:r>
      <w:r>
        <w:rPr>
          <w:color w:val="535353"/>
          <w:sz w:val="24"/>
        </w:rPr>
        <w:t>necessary.</w:t>
      </w:r>
    </w:p>
    <w:p w14:paraId="78E8FED3" w14:textId="77777777" w:rsidR="00907982" w:rsidRPr="00907982" w:rsidRDefault="00907982" w:rsidP="00907982">
      <w:pPr>
        <w:pStyle w:val="ListParagraph"/>
        <w:widowControl w:val="0"/>
        <w:tabs>
          <w:tab w:val="left" w:pos="1121"/>
        </w:tabs>
        <w:autoSpaceDE w:val="0"/>
        <w:autoSpaceDN w:val="0"/>
        <w:spacing w:before="22" w:after="0" w:line="259" w:lineRule="auto"/>
        <w:ind w:left="1120" w:right="113"/>
        <w:contextualSpacing w:val="0"/>
        <w:jc w:val="both"/>
        <w:rPr>
          <w:color w:val="535353"/>
          <w:sz w:val="24"/>
        </w:rPr>
      </w:pPr>
    </w:p>
    <w:p w14:paraId="7D2A51B5" w14:textId="77777777" w:rsidR="007741D5" w:rsidRDefault="007741D5" w:rsidP="00DC43E6">
      <w:pPr>
        <w:pStyle w:val="ListParagraph"/>
        <w:ind w:left="780"/>
        <w:rPr>
          <w:sz w:val="24"/>
          <w:szCs w:val="24"/>
          <w:lang w:val="en-GB"/>
        </w:rPr>
      </w:pPr>
      <w:bookmarkStart w:id="12" w:name="_bookmark23"/>
      <w:bookmarkEnd w:id="12"/>
    </w:p>
    <w:sectPr w:rsidR="007741D5" w:rsidSect="00907982">
      <w:footerReference w:type="default" r:id="rId15"/>
      <w:footerReference w:type="first" r:id="rId16"/>
      <w:pgSz w:w="11910" w:h="16840"/>
      <w:pgMar w:top="600" w:right="1100" w:bottom="880" w:left="1680" w:header="415" w:footer="68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C1F" w14:textId="77777777" w:rsidR="00272BE7" w:rsidRDefault="00272BE7">
      <w:pPr>
        <w:spacing w:after="0" w:line="240" w:lineRule="auto"/>
      </w:pPr>
      <w:r>
        <w:separator/>
      </w:r>
    </w:p>
  </w:endnote>
  <w:endnote w:type="continuationSeparator" w:id="0">
    <w:p w14:paraId="648945C4" w14:textId="77777777" w:rsidR="00272BE7" w:rsidRDefault="002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5982"/>
      <w:docPartObj>
        <w:docPartGallery w:val="Page Numbers (Bottom of Page)"/>
        <w:docPartUnique/>
      </w:docPartObj>
    </w:sdtPr>
    <w:sdtEndPr/>
    <w:sdtContent>
      <w:sdt>
        <w:sdtPr>
          <w:id w:val="1728636285"/>
          <w:docPartObj>
            <w:docPartGallery w:val="Page Numbers (Top of Page)"/>
            <w:docPartUnique/>
          </w:docPartObj>
        </w:sdtPr>
        <w:sdtEndPr/>
        <w:sdtContent>
          <w:p w14:paraId="4FE6676B" w14:textId="655C6AE1" w:rsidR="00272BE7" w:rsidRPr="007E0D87" w:rsidRDefault="00272BE7" w:rsidP="007E0D87">
            <w:pPr>
              <w:pStyle w:val="Heading1"/>
              <w:jc w:val="center"/>
            </w:pPr>
            <w:r w:rsidRPr="007E0D87">
              <w:rPr>
                <w:rStyle w:val="Heading3Char"/>
                <w:color w:val="FFFFFF" w:themeColor="background1"/>
              </w:rPr>
              <w:t xml:space="preserve">Page </w:t>
            </w:r>
            <w:r w:rsidRPr="007E0D87">
              <w:rPr>
                <w:rStyle w:val="Heading3Char"/>
                <w:color w:val="FFFFFF" w:themeColor="background1"/>
              </w:rPr>
              <w:fldChar w:fldCharType="begin"/>
            </w:r>
            <w:r w:rsidRPr="007E0D87">
              <w:rPr>
                <w:rStyle w:val="Heading3Char"/>
                <w:color w:val="FFFFFF" w:themeColor="background1"/>
              </w:rPr>
              <w:instrText xml:space="preserve"> PAGE </w:instrText>
            </w:r>
            <w:r w:rsidRPr="007E0D87">
              <w:rPr>
                <w:rStyle w:val="Heading3Char"/>
                <w:color w:val="FFFFFF" w:themeColor="background1"/>
              </w:rPr>
              <w:fldChar w:fldCharType="separate"/>
            </w:r>
            <w:r w:rsidR="004271C6">
              <w:rPr>
                <w:rStyle w:val="Heading3Char"/>
                <w:noProof/>
                <w:color w:val="FFFFFF" w:themeColor="background1"/>
              </w:rPr>
              <w:t>6</w:t>
            </w:r>
            <w:r w:rsidRPr="007E0D87">
              <w:rPr>
                <w:rStyle w:val="Heading3Char"/>
                <w:color w:val="FFFFFF" w:themeColor="background1"/>
              </w:rPr>
              <w:fldChar w:fldCharType="end"/>
            </w:r>
            <w:r w:rsidRPr="007E0D87">
              <w:rPr>
                <w:rStyle w:val="Heading3Char"/>
                <w:color w:val="FFFFFF" w:themeColor="background1"/>
              </w:rPr>
              <w:t xml:space="preserve"> of </w:t>
            </w:r>
            <w:r w:rsidRPr="007E0D87">
              <w:rPr>
                <w:rStyle w:val="Heading3Char"/>
                <w:color w:val="FFFFFF" w:themeColor="background1"/>
              </w:rPr>
              <w:fldChar w:fldCharType="begin"/>
            </w:r>
            <w:r w:rsidRPr="007E0D87">
              <w:rPr>
                <w:rStyle w:val="Heading3Char"/>
                <w:color w:val="FFFFFF" w:themeColor="background1"/>
              </w:rPr>
              <w:instrText xml:space="preserve"> NUMPAGES  </w:instrText>
            </w:r>
            <w:r w:rsidRPr="007E0D87">
              <w:rPr>
                <w:rStyle w:val="Heading3Char"/>
                <w:color w:val="FFFFFF" w:themeColor="background1"/>
              </w:rPr>
              <w:fldChar w:fldCharType="separate"/>
            </w:r>
            <w:r w:rsidR="004271C6">
              <w:rPr>
                <w:rStyle w:val="Heading3Char"/>
                <w:noProof/>
                <w:color w:val="FFFFFF" w:themeColor="background1"/>
              </w:rPr>
              <w:t>6</w:t>
            </w:r>
            <w:r w:rsidRPr="007E0D87">
              <w:rPr>
                <w:rStyle w:val="Heading3Char"/>
                <w:color w:val="FFFFFF" w:themeColor="background1"/>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5B64" w14:textId="60E923B6" w:rsidR="00272BE7" w:rsidRDefault="00272BE7" w:rsidP="007E0D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27D3" w14:textId="77777777" w:rsidR="00272BE7" w:rsidRDefault="00272BE7">
      <w:pPr>
        <w:spacing w:after="0" w:line="240" w:lineRule="auto"/>
      </w:pPr>
      <w:r>
        <w:separator/>
      </w:r>
    </w:p>
  </w:footnote>
  <w:footnote w:type="continuationSeparator" w:id="0">
    <w:p w14:paraId="37DCD27B" w14:textId="77777777" w:rsidR="00272BE7" w:rsidRDefault="0027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C66A" w14:textId="315AEC29" w:rsidR="00272BE7" w:rsidRPr="007E0D87" w:rsidRDefault="004271C6">
    <w:pPr>
      <w:pStyle w:val="Header"/>
      <w:jc w:val="center"/>
      <w:rPr>
        <w:sz w:val="20"/>
      </w:rPr>
    </w:pPr>
    <w:r>
      <w:rPr>
        <w:rFonts w:cs="Verdana"/>
        <w:sz w:val="20"/>
      </w:rPr>
      <w:t>Tax Appeals Commission I CHILDREN FIRST SECTORAL IMPLEMENTATION PLAN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6F3F"/>
    <w:multiLevelType w:val="hybridMultilevel"/>
    <w:tmpl w:val="4D46CD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6975815"/>
    <w:multiLevelType w:val="hybridMultilevel"/>
    <w:tmpl w:val="B74EA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B73AA"/>
    <w:multiLevelType w:val="hybridMultilevel"/>
    <w:tmpl w:val="0F824104"/>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15:restartNumberingAfterBreak="0">
    <w:nsid w:val="1C2A30C7"/>
    <w:multiLevelType w:val="hybridMultilevel"/>
    <w:tmpl w:val="0BAAC4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4B6F3F"/>
    <w:multiLevelType w:val="multilevel"/>
    <w:tmpl w:val="F2148E0E"/>
    <w:lvl w:ilvl="0">
      <w:start w:val="1"/>
      <w:numFmt w:val="decimal"/>
      <w:lvlText w:val="%1."/>
      <w:lvlJc w:val="left"/>
      <w:pPr>
        <w:ind w:left="473" w:hanging="361"/>
      </w:pPr>
      <w:rPr>
        <w:rFonts w:ascii="Calibri Light" w:eastAsia="Calibri Light" w:hAnsi="Calibri Light" w:cs="Calibri Light" w:hint="default"/>
        <w:color w:val="AD9961"/>
        <w:w w:val="99"/>
        <w:sz w:val="26"/>
        <w:szCs w:val="26"/>
      </w:rPr>
    </w:lvl>
    <w:lvl w:ilvl="1">
      <w:start w:val="1"/>
      <w:numFmt w:val="decimal"/>
      <w:lvlText w:val="%1.%2."/>
      <w:lvlJc w:val="left"/>
      <w:pPr>
        <w:ind w:left="1246" w:hanging="706"/>
        <w:jc w:val="right"/>
      </w:pPr>
      <w:rPr>
        <w:rFonts w:hint="default"/>
        <w:spacing w:val="-27"/>
        <w:w w:val="100"/>
      </w:rPr>
    </w:lvl>
    <w:lvl w:ilvl="2">
      <w:start w:val="1"/>
      <w:numFmt w:val="lowerLetter"/>
      <w:lvlText w:val="%3)"/>
      <w:lvlJc w:val="left"/>
      <w:pPr>
        <w:ind w:left="1841" w:hanging="706"/>
      </w:pPr>
      <w:rPr>
        <w:rFonts w:ascii="Calibri" w:eastAsia="Calibri" w:hAnsi="Calibri" w:cs="Calibri" w:hint="default"/>
        <w:color w:val="535353"/>
        <w:spacing w:val="-22"/>
        <w:w w:val="100"/>
        <w:sz w:val="24"/>
        <w:szCs w:val="24"/>
      </w:rPr>
    </w:lvl>
    <w:lvl w:ilvl="3">
      <w:numFmt w:val="bullet"/>
      <w:lvlText w:val="•"/>
      <w:lvlJc w:val="left"/>
      <w:pPr>
        <w:ind w:left="2825" w:hanging="706"/>
      </w:pPr>
      <w:rPr>
        <w:rFonts w:hint="default"/>
      </w:rPr>
    </w:lvl>
    <w:lvl w:ilvl="4">
      <w:numFmt w:val="bullet"/>
      <w:lvlText w:val="•"/>
      <w:lvlJc w:val="left"/>
      <w:pPr>
        <w:ind w:left="3811" w:hanging="706"/>
      </w:pPr>
      <w:rPr>
        <w:rFonts w:hint="default"/>
      </w:rPr>
    </w:lvl>
    <w:lvl w:ilvl="5">
      <w:numFmt w:val="bullet"/>
      <w:lvlText w:val="•"/>
      <w:lvlJc w:val="left"/>
      <w:pPr>
        <w:ind w:left="4797" w:hanging="706"/>
      </w:pPr>
      <w:rPr>
        <w:rFonts w:hint="default"/>
      </w:rPr>
    </w:lvl>
    <w:lvl w:ilvl="6">
      <w:numFmt w:val="bullet"/>
      <w:lvlText w:val="•"/>
      <w:lvlJc w:val="left"/>
      <w:pPr>
        <w:ind w:left="5783" w:hanging="706"/>
      </w:pPr>
      <w:rPr>
        <w:rFonts w:hint="default"/>
      </w:rPr>
    </w:lvl>
    <w:lvl w:ilvl="7">
      <w:numFmt w:val="bullet"/>
      <w:lvlText w:val="•"/>
      <w:lvlJc w:val="left"/>
      <w:pPr>
        <w:ind w:left="6769" w:hanging="706"/>
      </w:pPr>
      <w:rPr>
        <w:rFonts w:hint="default"/>
      </w:rPr>
    </w:lvl>
    <w:lvl w:ilvl="8">
      <w:numFmt w:val="bullet"/>
      <w:lvlText w:val="•"/>
      <w:lvlJc w:val="left"/>
      <w:pPr>
        <w:ind w:left="7754" w:hanging="706"/>
      </w:pPr>
      <w:rPr>
        <w:rFonts w:hint="default"/>
      </w:rPr>
    </w:lvl>
  </w:abstractNum>
  <w:abstractNum w:abstractNumId="5" w15:restartNumberingAfterBreak="0">
    <w:nsid w:val="2B3A166A"/>
    <w:multiLevelType w:val="hybridMultilevel"/>
    <w:tmpl w:val="1B6C87F4"/>
    <w:lvl w:ilvl="0" w:tplc="0AF23D12">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91938FA"/>
    <w:multiLevelType w:val="multilevel"/>
    <w:tmpl w:val="F2148E0E"/>
    <w:lvl w:ilvl="0">
      <w:start w:val="1"/>
      <w:numFmt w:val="decimal"/>
      <w:lvlText w:val="%1."/>
      <w:lvlJc w:val="left"/>
      <w:pPr>
        <w:ind w:left="473" w:hanging="361"/>
      </w:pPr>
      <w:rPr>
        <w:rFonts w:ascii="Calibri Light" w:eastAsia="Calibri Light" w:hAnsi="Calibri Light" w:cs="Calibri Light" w:hint="default"/>
        <w:color w:val="AD9961"/>
        <w:w w:val="99"/>
        <w:sz w:val="26"/>
        <w:szCs w:val="26"/>
      </w:rPr>
    </w:lvl>
    <w:lvl w:ilvl="1">
      <w:start w:val="1"/>
      <w:numFmt w:val="decimal"/>
      <w:lvlText w:val="%1.%2."/>
      <w:lvlJc w:val="left"/>
      <w:pPr>
        <w:ind w:left="1246" w:hanging="706"/>
        <w:jc w:val="right"/>
      </w:pPr>
      <w:rPr>
        <w:rFonts w:hint="default"/>
        <w:spacing w:val="-27"/>
        <w:w w:val="100"/>
      </w:rPr>
    </w:lvl>
    <w:lvl w:ilvl="2">
      <w:start w:val="1"/>
      <w:numFmt w:val="lowerLetter"/>
      <w:lvlText w:val="%3)"/>
      <w:lvlJc w:val="left"/>
      <w:pPr>
        <w:ind w:left="1841" w:hanging="706"/>
      </w:pPr>
      <w:rPr>
        <w:rFonts w:ascii="Calibri" w:eastAsia="Calibri" w:hAnsi="Calibri" w:cs="Calibri" w:hint="default"/>
        <w:color w:val="535353"/>
        <w:spacing w:val="-22"/>
        <w:w w:val="100"/>
        <w:sz w:val="24"/>
        <w:szCs w:val="24"/>
      </w:rPr>
    </w:lvl>
    <w:lvl w:ilvl="3">
      <w:numFmt w:val="bullet"/>
      <w:lvlText w:val="•"/>
      <w:lvlJc w:val="left"/>
      <w:pPr>
        <w:ind w:left="2825" w:hanging="706"/>
      </w:pPr>
      <w:rPr>
        <w:rFonts w:hint="default"/>
      </w:rPr>
    </w:lvl>
    <w:lvl w:ilvl="4">
      <w:numFmt w:val="bullet"/>
      <w:lvlText w:val="•"/>
      <w:lvlJc w:val="left"/>
      <w:pPr>
        <w:ind w:left="3811" w:hanging="706"/>
      </w:pPr>
      <w:rPr>
        <w:rFonts w:hint="default"/>
      </w:rPr>
    </w:lvl>
    <w:lvl w:ilvl="5">
      <w:numFmt w:val="bullet"/>
      <w:lvlText w:val="•"/>
      <w:lvlJc w:val="left"/>
      <w:pPr>
        <w:ind w:left="4797" w:hanging="706"/>
      </w:pPr>
      <w:rPr>
        <w:rFonts w:hint="default"/>
      </w:rPr>
    </w:lvl>
    <w:lvl w:ilvl="6">
      <w:numFmt w:val="bullet"/>
      <w:lvlText w:val="•"/>
      <w:lvlJc w:val="left"/>
      <w:pPr>
        <w:ind w:left="5783" w:hanging="706"/>
      </w:pPr>
      <w:rPr>
        <w:rFonts w:hint="default"/>
      </w:rPr>
    </w:lvl>
    <w:lvl w:ilvl="7">
      <w:numFmt w:val="bullet"/>
      <w:lvlText w:val="•"/>
      <w:lvlJc w:val="left"/>
      <w:pPr>
        <w:ind w:left="6769" w:hanging="706"/>
      </w:pPr>
      <w:rPr>
        <w:rFonts w:hint="default"/>
      </w:rPr>
    </w:lvl>
    <w:lvl w:ilvl="8">
      <w:numFmt w:val="bullet"/>
      <w:lvlText w:val="•"/>
      <w:lvlJc w:val="left"/>
      <w:pPr>
        <w:ind w:left="7754" w:hanging="706"/>
      </w:pPr>
      <w:rPr>
        <w:rFonts w:hint="default"/>
      </w:rPr>
    </w:lvl>
  </w:abstractNum>
  <w:abstractNum w:abstractNumId="7" w15:restartNumberingAfterBreak="0">
    <w:nsid w:val="463636F5"/>
    <w:multiLevelType w:val="hybridMultilevel"/>
    <w:tmpl w:val="01768520"/>
    <w:lvl w:ilvl="0" w:tplc="435EEB06">
      <w:start w:val="1"/>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8" w15:restartNumberingAfterBreak="0">
    <w:nsid w:val="4A450BF7"/>
    <w:multiLevelType w:val="multilevel"/>
    <w:tmpl w:val="F2148E0E"/>
    <w:lvl w:ilvl="0">
      <w:start w:val="1"/>
      <w:numFmt w:val="decimal"/>
      <w:lvlText w:val="%1."/>
      <w:lvlJc w:val="left"/>
      <w:pPr>
        <w:ind w:left="473" w:hanging="361"/>
      </w:pPr>
      <w:rPr>
        <w:rFonts w:ascii="Calibri Light" w:eastAsia="Calibri Light" w:hAnsi="Calibri Light" w:cs="Calibri Light" w:hint="default"/>
        <w:color w:val="AD9961"/>
        <w:w w:val="99"/>
        <w:sz w:val="26"/>
        <w:szCs w:val="26"/>
      </w:rPr>
    </w:lvl>
    <w:lvl w:ilvl="1">
      <w:start w:val="1"/>
      <w:numFmt w:val="decimal"/>
      <w:lvlText w:val="%1.%2."/>
      <w:lvlJc w:val="left"/>
      <w:pPr>
        <w:ind w:left="1246" w:hanging="706"/>
        <w:jc w:val="right"/>
      </w:pPr>
      <w:rPr>
        <w:rFonts w:hint="default"/>
        <w:spacing w:val="-27"/>
        <w:w w:val="100"/>
      </w:rPr>
    </w:lvl>
    <w:lvl w:ilvl="2">
      <w:start w:val="1"/>
      <w:numFmt w:val="lowerLetter"/>
      <w:lvlText w:val="%3)"/>
      <w:lvlJc w:val="left"/>
      <w:pPr>
        <w:ind w:left="1841" w:hanging="706"/>
      </w:pPr>
      <w:rPr>
        <w:rFonts w:ascii="Calibri" w:eastAsia="Calibri" w:hAnsi="Calibri" w:cs="Calibri" w:hint="default"/>
        <w:color w:val="535353"/>
        <w:spacing w:val="-22"/>
        <w:w w:val="100"/>
        <w:sz w:val="24"/>
        <w:szCs w:val="24"/>
      </w:rPr>
    </w:lvl>
    <w:lvl w:ilvl="3">
      <w:numFmt w:val="bullet"/>
      <w:lvlText w:val="•"/>
      <w:lvlJc w:val="left"/>
      <w:pPr>
        <w:ind w:left="2825" w:hanging="706"/>
      </w:pPr>
      <w:rPr>
        <w:rFonts w:hint="default"/>
      </w:rPr>
    </w:lvl>
    <w:lvl w:ilvl="4">
      <w:numFmt w:val="bullet"/>
      <w:lvlText w:val="•"/>
      <w:lvlJc w:val="left"/>
      <w:pPr>
        <w:ind w:left="3811" w:hanging="706"/>
      </w:pPr>
      <w:rPr>
        <w:rFonts w:hint="default"/>
      </w:rPr>
    </w:lvl>
    <w:lvl w:ilvl="5">
      <w:numFmt w:val="bullet"/>
      <w:lvlText w:val="•"/>
      <w:lvlJc w:val="left"/>
      <w:pPr>
        <w:ind w:left="4797" w:hanging="706"/>
      </w:pPr>
      <w:rPr>
        <w:rFonts w:hint="default"/>
      </w:rPr>
    </w:lvl>
    <w:lvl w:ilvl="6">
      <w:numFmt w:val="bullet"/>
      <w:lvlText w:val="•"/>
      <w:lvlJc w:val="left"/>
      <w:pPr>
        <w:ind w:left="5783" w:hanging="706"/>
      </w:pPr>
      <w:rPr>
        <w:rFonts w:hint="default"/>
      </w:rPr>
    </w:lvl>
    <w:lvl w:ilvl="7">
      <w:numFmt w:val="bullet"/>
      <w:lvlText w:val="•"/>
      <w:lvlJc w:val="left"/>
      <w:pPr>
        <w:ind w:left="6769" w:hanging="706"/>
      </w:pPr>
      <w:rPr>
        <w:rFonts w:hint="default"/>
      </w:rPr>
    </w:lvl>
    <w:lvl w:ilvl="8">
      <w:numFmt w:val="bullet"/>
      <w:lvlText w:val="•"/>
      <w:lvlJc w:val="left"/>
      <w:pPr>
        <w:ind w:left="7754" w:hanging="706"/>
      </w:pPr>
      <w:rPr>
        <w:rFonts w:hint="default"/>
      </w:rPr>
    </w:lvl>
  </w:abstractNum>
  <w:abstractNum w:abstractNumId="9" w15:restartNumberingAfterBreak="0">
    <w:nsid w:val="4E612C57"/>
    <w:multiLevelType w:val="multilevel"/>
    <w:tmpl w:val="6FEE92A0"/>
    <w:lvl w:ilvl="0">
      <w:start w:val="3"/>
      <w:numFmt w:val="decimal"/>
      <w:lvlText w:val="%1"/>
      <w:lvlJc w:val="left"/>
      <w:pPr>
        <w:ind w:left="1120" w:hanging="509"/>
        <w:jc w:val="left"/>
      </w:pPr>
      <w:rPr>
        <w:rFonts w:hint="default"/>
      </w:rPr>
    </w:lvl>
    <w:lvl w:ilvl="1">
      <w:start w:val="1"/>
      <w:numFmt w:val="decimal"/>
      <w:lvlText w:val="%1.%2"/>
      <w:lvlJc w:val="left"/>
      <w:pPr>
        <w:ind w:left="1120" w:hanging="509"/>
        <w:jc w:val="right"/>
      </w:pPr>
      <w:rPr>
        <w:rFonts w:ascii="Calibri" w:eastAsia="Calibri" w:hAnsi="Calibri" w:cs="Calibri" w:hint="default"/>
        <w:color w:val="535353"/>
        <w:spacing w:val="-21"/>
        <w:w w:val="100"/>
        <w:sz w:val="24"/>
        <w:szCs w:val="24"/>
      </w:rPr>
    </w:lvl>
    <w:lvl w:ilvl="2">
      <w:numFmt w:val="bullet"/>
      <w:lvlText w:val="•"/>
      <w:lvlJc w:val="left"/>
      <w:pPr>
        <w:ind w:left="2745" w:hanging="509"/>
      </w:pPr>
      <w:rPr>
        <w:rFonts w:hint="default"/>
      </w:rPr>
    </w:lvl>
    <w:lvl w:ilvl="3">
      <w:numFmt w:val="bullet"/>
      <w:lvlText w:val="•"/>
      <w:lvlJc w:val="left"/>
      <w:pPr>
        <w:ind w:left="3557" w:hanging="509"/>
      </w:pPr>
      <w:rPr>
        <w:rFonts w:hint="default"/>
      </w:rPr>
    </w:lvl>
    <w:lvl w:ilvl="4">
      <w:numFmt w:val="bullet"/>
      <w:lvlText w:val="•"/>
      <w:lvlJc w:val="left"/>
      <w:pPr>
        <w:ind w:left="4370" w:hanging="509"/>
      </w:pPr>
      <w:rPr>
        <w:rFonts w:hint="default"/>
      </w:rPr>
    </w:lvl>
    <w:lvl w:ilvl="5">
      <w:numFmt w:val="bullet"/>
      <w:lvlText w:val="•"/>
      <w:lvlJc w:val="left"/>
      <w:pPr>
        <w:ind w:left="5183" w:hanging="509"/>
      </w:pPr>
      <w:rPr>
        <w:rFonts w:hint="default"/>
      </w:rPr>
    </w:lvl>
    <w:lvl w:ilvl="6">
      <w:numFmt w:val="bullet"/>
      <w:lvlText w:val="•"/>
      <w:lvlJc w:val="left"/>
      <w:pPr>
        <w:ind w:left="5995" w:hanging="509"/>
      </w:pPr>
      <w:rPr>
        <w:rFonts w:hint="default"/>
      </w:rPr>
    </w:lvl>
    <w:lvl w:ilvl="7">
      <w:numFmt w:val="bullet"/>
      <w:lvlText w:val="•"/>
      <w:lvlJc w:val="left"/>
      <w:pPr>
        <w:ind w:left="6808" w:hanging="509"/>
      </w:pPr>
      <w:rPr>
        <w:rFonts w:hint="default"/>
      </w:rPr>
    </w:lvl>
    <w:lvl w:ilvl="8">
      <w:numFmt w:val="bullet"/>
      <w:lvlText w:val="•"/>
      <w:lvlJc w:val="left"/>
      <w:pPr>
        <w:ind w:left="7621" w:hanging="509"/>
      </w:pPr>
      <w:rPr>
        <w:rFonts w:hint="default"/>
      </w:rPr>
    </w:lvl>
  </w:abstractNum>
  <w:abstractNum w:abstractNumId="10" w15:restartNumberingAfterBreak="0">
    <w:nsid w:val="54503AEE"/>
    <w:multiLevelType w:val="hybridMultilevel"/>
    <w:tmpl w:val="032E4282"/>
    <w:lvl w:ilvl="0" w:tplc="2D78AEE2">
      <w:start w:val="2"/>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9C2881"/>
    <w:multiLevelType w:val="hybridMultilevel"/>
    <w:tmpl w:val="408CC9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C96D8D"/>
    <w:multiLevelType w:val="hybridMultilevel"/>
    <w:tmpl w:val="2E8046A6"/>
    <w:lvl w:ilvl="0" w:tplc="18090017">
      <w:start w:val="1"/>
      <w:numFmt w:val="lowerLetter"/>
      <w:lvlText w:val="%1)"/>
      <w:lvlJc w:val="left"/>
      <w:pPr>
        <w:ind w:left="1620" w:hanging="360"/>
      </w:p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13" w15:restartNumberingAfterBreak="0">
    <w:nsid w:val="5EAF3735"/>
    <w:multiLevelType w:val="hybridMultilevel"/>
    <w:tmpl w:val="B98CB44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4" w15:restartNumberingAfterBreak="0">
    <w:nsid w:val="656B05E5"/>
    <w:multiLevelType w:val="multilevel"/>
    <w:tmpl w:val="8EFAA8E2"/>
    <w:lvl w:ilvl="0">
      <w:start w:val="2"/>
      <w:numFmt w:val="decimal"/>
      <w:lvlText w:val="%1"/>
      <w:lvlJc w:val="left"/>
      <w:pPr>
        <w:ind w:left="1120" w:hanging="509"/>
      </w:pPr>
      <w:rPr>
        <w:rFonts w:hint="default"/>
      </w:rPr>
    </w:lvl>
    <w:lvl w:ilvl="1">
      <w:start w:val="4"/>
      <w:numFmt w:val="decimal"/>
      <w:lvlText w:val="%1.%2"/>
      <w:lvlJc w:val="left"/>
      <w:pPr>
        <w:ind w:left="1120" w:hanging="509"/>
      </w:pPr>
      <w:rPr>
        <w:rFonts w:ascii="Calibri" w:eastAsia="Calibri" w:hAnsi="Calibri" w:cs="Calibri" w:hint="default"/>
        <w:color w:val="535353"/>
        <w:spacing w:val="-13"/>
        <w:w w:val="100"/>
        <w:sz w:val="24"/>
        <w:szCs w:val="24"/>
      </w:rPr>
    </w:lvl>
    <w:lvl w:ilvl="2">
      <w:numFmt w:val="bullet"/>
      <w:lvlText w:val=""/>
      <w:lvlJc w:val="left"/>
      <w:pPr>
        <w:ind w:left="1420" w:hanging="356"/>
      </w:pPr>
      <w:rPr>
        <w:rFonts w:ascii="Symbol" w:eastAsia="Symbol" w:hAnsi="Symbol" w:cs="Symbol" w:hint="default"/>
        <w:color w:val="535353"/>
        <w:w w:val="100"/>
        <w:sz w:val="24"/>
        <w:szCs w:val="24"/>
      </w:rPr>
    </w:lvl>
    <w:lvl w:ilvl="3">
      <w:numFmt w:val="bullet"/>
      <w:lvlText w:val="•"/>
      <w:lvlJc w:val="left"/>
      <w:pPr>
        <w:ind w:left="3159" w:hanging="356"/>
      </w:pPr>
      <w:rPr>
        <w:rFonts w:hint="default"/>
      </w:rPr>
    </w:lvl>
    <w:lvl w:ilvl="4">
      <w:numFmt w:val="bullet"/>
      <w:lvlText w:val="•"/>
      <w:lvlJc w:val="left"/>
      <w:pPr>
        <w:ind w:left="4028" w:hanging="356"/>
      </w:pPr>
      <w:rPr>
        <w:rFonts w:hint="default"/>
      </w:rPr>
    </w:lvl>
    <w:lvl w:ilvl="5">
      <w:numFmt w:val="bullet"/>
      <w:lvlText w:val="•"/>
      <w:lvlJc w:val="left"/>
      <w:pPr>
        <w:ind w:left="4898" w:hanging="356"/>
      </w:pPr>
      <w:rPr>
        <w:rFonts w:hint="default"/>
      </w:rPr>
    </w:lvl>
    <w:lvl w:ilvl="6">
      <w:numFmt w:val="bullet"/>
      <w:lvlText w:val="•"/>
      <w:lvlJc w:val="left"/>
      <w:pPr>
        <w:ind w:left="5768" w:hanging="356"/>
      </w:pPr>
      <w:rPr>
        <w:rFonts w:hint="default"/>
      </w:rPr>
    </w:lvl>
    <w:lvl w:ilvl="7">
      <w:numFmt w:val="bullet"/>
      <w:lvlText w:val="•"/>
      <w:lvlJc w:val="left"/>
      <w:pPr>
        <w:ind w:left="6637" w:hanging="356"/>
      </w:pPr>
      <w:rPr>
        <w:rFonts w:hint="default"/>
      </w:rPr>
    </w:lvl>
    <w:lvl w:ilvl="8">
      <w:numFmt w:val="bullet"/>
      <w:lvlText w:val="•"/>
      <w:lvlJc w:val="left"/>
      <w:pPr>
        <w:ind w:left="7507" w:hanging="356"/>
      </w:pPr>
      <w:rPr>
        <w:rFonts w:hint="default"/>
      </w:rPr>
    </w:lvl>
  </w:abstractNum>
  <w:abstractNum w:abstractNumId="15" w15:restartNumberingAfterBreak="0">
    <w:nsid w:val="65FA6339"/>
    <w:multiLevelType w:val="hybridMultilevel"/>
    <w:tmpl w:val="A852F55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D662BD5"/>
    <w:multiLevelType w:val="hybridMultilevel"/>
    <w:tmpl w:val="681EE47A"/>
    <w:lvl w:ilvl="0" w:tplc="D37E4726">
      <w:numFmt w:val="bullet"/>
      <w:lvlText w:val="•"/>
      <w:lvlJc w:val="left"/>
      <w:pPr>
        <w:ind w:left="449" w:hanging="366"/>
      </w:pPr>
      <w:rPr>
        <w:rFonts w:ascii="Arial" w:eastAsia="Arial" w:hAnsi="Arial" w:cs="Arial" w:hint="default"/>
        <w:color w:val="0E493B"/>
        <w:w w:val="106"/>
        <w:position w:val="-4"/>
        <w:sz w:val="30"/>
        <w:szCs w:val="30"/>
      </w:rPr>
    </w:lvl>
    <w:lvl w:ilvl="1" w:tplc="CFFA26B2">
      <w:numFmt w:val="bullet"/>
      <w:lvlText w:val="•"/>
      <w:lvlJc w:val="left"/>
      <w:pPr>
        <w:ind w:left="936" w:hanging="366"/>
      </w:pPr>
      <w:rPr>
        <w:rFonts w:hint="default"/>
      </w:rPr>
    </w:lvl>
    <w:lvl w:ilvl="2" w:tplc="E7C659B6">
      <w:numFmt w:val="bullet"/>
      <w:lvlText w:val="•"/>
      <w:lvlJc w:val="left"/>
      <w:pPr>
        <w:ind w:left="1432" w:hanging="366"/>
      </w:pPr>
      <w:rPr>
        <w:rFonts w:hint="default"/>
      </w:rPr>
    </w:lvl>
    <w:lvl w:ilvl="3" w:tplc="FE7C8BAC">
      <w:numFmt w:val="bullet"/>
      <w:lvlText w:val="•"/>
      <w:lvlJc w:val="left"/>
      <w:pPr>
        <w:ind w:left="1928" w:hanging="366"/>
      </w:pPr>
      <w:rPr>
        <w:rFonts w:hint="default"/>
      </w:rPr>
    </w:lvl>
    <w:lvl w:ilvl="4" w:tplc="C3AC39CA">
      <w:numFmt w:val="bullet"/>
      <w:lvlText w:val="•"/>
      <w:lvlJc w:val="left"/>
      <w:pPr>
        <w:ind w:left="2425" w:hanging="366"/>
      </w:pPr>
      <w:rPr>
        <w:rFonts w:hint="default"/>
      </w:rPr>
    </w:lvl>
    <w:lvl w:ilvl="5" w:tplc="5B0E9C48">
      <w:numFmt w:val="bullet"/>
      <w:lvlText w:val="•"/>
      <w:lvlJc w:val="left"/>
      <w:pPr>
        <w:ind w:left="2921" w:hanging="366"/>
      </w:pPr>
      <w:rPr>
        <w:rFonts w:hint="default"/>
      </w:rPr>
    </w:lvl>
    <w:lvl w:ilvl="6" w:tplc="FA505380">
      <w:numFmt w:val="bullet"/>
      <w:lvlText w:val="•"/>
      <w:lvlJc w:val="left"/>
      <w:pPr>
        <w:ind w:left="3417" w:hanging="366"/>
      </w:pPr>
      <w:rPr>
        <w:rFonts w:hint="default"/>
      </w:rPr>
    </w:lvl>
    <w:lvl w:ilvl="7" w:tplc="D30C2260">
      <w:numFmt w:val="bullet"/>
      <w:lvlText w:val="•"/>
      <w:lvlJc w:val="left"/>
      <w:pPr>
        <w:ind w:left="3913" w:hanging="366"/>
      </w:pPr>
      <w:rPr>
        <w:rFonts w:hint="default"/>
      </w:rPr>
    </w:lvl>
    <w:lvl w:ilvl="8" w:tplc="260AC5AE">
      <w:numFmt w:val="bullet"/>
      <w:lvlText w:val="•"/>
      <w:lvlJc w:val="left"/>
      <w:pPr>
        <w:ind w:left="4410" w:hanging="366"/>
      </w:pPr>
      <w:rPr>
        <w:rFonts w:hint="default"/>
      </w:rPr>
    </w:lvl>
  </w:abstractNum>
  <w:abstractNum w:abstractNumId="17" w15:restartNumberingAfterBreak="0">
    <w:nsid w:val="71D55539"/>
    <w:multiLevelType w:val="hybridMultilevel"/>
    <w:tmpl w:val="668EABFC"/>
    <w:lvl w:ilvl="0" w:tplc="2B5CBBE8">
      <w:start w:val="1"/>
      <w:numFmt w:val="decimal"/>
      <w:lvlText w:val="%1."/>
      <w:lvlJc w:val="left"/>
      <w:pPr>
        <w:ind w:left="7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E9324E6"/>
    <w:multiLevelType w:val="hybridMultilevel"/>
    <w:tmpl w:val="77EAD3DE"/>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11"/>
  </w:num>
  <w:num w:numId="2">
    <w:abstractNumId w:val="13"/>
  </w:num>
  <w:num w:numId="3">
    <w:abstractNumId w:val="16"/>
  </w:num>
  <w:num w:numId="4">
    <w:abstractNumId w:val="7"/>
  </w:num>
  <w:num w:numId="5">
    <w:abstractNumId w:val="3"/>
  </w:num>
  <w:num w:numId="6">
    <w:abstractNumId w:val="0"/>
  </w:num>
  <w:num w:numId="7">
    <w:abstractNumId w:val="5"/>
  </w:num>
  <w:num w:numId="8">
    <w:abstractNumId w:val="18"/>
  </w:num>
  <w:num w:numId="9">
    <w:abstractNumId w:val="17"/>
  </w:num>
  <w:num w:numId="10">
    <w:abstractNumId w:val="15"/>
  </w:num>
  <w:num w:numId="11">
    <w:abstractNumId w:val="10"/>
  </w:num>
  <w:num w:numId="12">
    <w:abstractNumId w:val="1"/>
  </w:num>
  <w:num w:numId="13">
    <w:abstractNumId w:val="8"/>
  </w:num>
  <w:num w:numId="14">
    <w:abstractNumId w:val="12"/>
  </w:num>
  <w:num w:numId="15">
    <w:abstractNumId w:val="6"/>
  </w:num>
  <w:num w:numId="16">
    <w:abstractNumId w:val="2"/>
  </w:num>
  <w:num w:numId="17">
    <w:abstractNumId w:val="4"/>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420"/>
  <w:drawingGridVerticalSpacing w:val="156"/>
  <w:noPunctuationKerning/>
  <w:characterSpacingControl w:val="compressPunctuation"/>
  <w:hdrShapeDefaults>
    <o:shapedefaults v:ext="edit" spidmax="122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D6C4E"/>
    <w:rsid w:val="00011B2A"/>
    <w:rsid w:val="00013F35"/>
    <w:rsid w:val="00032B47"/>
    <w:rsid w:val="00040974"/>
    <w:rsid w:val="00046C78"/>
    <w:rsid w:val="000500A6"/>
    <w:rsid w:val="000564C1"/>
    <w:rsid w:val="00056A52"/>
    <w:rsid w:val="00081CCA"/>
    <w:rsid w:val="0009183E"/>
    <w:rsid w:val="000D577A"/>
    <w:rsid w:val="000E4682"/>
    <w:rsid w:val="00101D06"/>
    <w:rsid w:val="0012318B"/>
    <w:rsid w:val="00127919"/>
    <w:rsid w:val="001313F1"/>
    <w:rsid w:val="001369A8"/>
    <w:rsid w:val="00140DAB"/>
    <w:rsid w:val="00147DC6"/>
    <w:rsid w:val="00152867"/>
    <w:rsid w:val="00160908"/>
    <w:rsid w:val="00172316"/>
    <w:rsid w:val="00173A12"/>
    <w:rsid w:val="00180D0F"/>
    <w:rsid w:val="00181A6B"/>
    <w:rsid w:val="0019337A"/>
    <w:rsid w:val="001A69FC"/>
    <w:rsid w:val="001B4A32"/>
    <w:rsid w:val="001D16A8"/>
    <w:rsid w:val="001E5024"/>
    <w:rsid w:val="001E693B"/>
    <w:rsid w:val="001F4F64"/>
    <w:rsid w:val="00211DA3"/>
    <w:rsid w:val="00211FFA"/>
    <w:rsid w:val="00232D8A"/>
    <w:rsid w:val="0024018F"/>
    <w:rsid w:val="002607CA"/>
    <w:rsid w:val="00272BE7"/>
    <w:rsid w:val="00282DF4"/>
    <w:rsid w:val="002834B2"/>
    <w:rsid w:val="002D43CA"/>
    <w:rsid w:val="003141C3"/>
    <w:rsid w:val="003228BA"/>
    <w:rsid w:val="00355FBC"/>
    <w:rsid w:val="003866D5"/>
    <w:rsid w:val="00397422"/>
    <w:rsid w:val="003A516C"/>
    <w:rsid w:val="003D3EDA"/>
    <w:rsid w:val="00403F05"/>
    <w:rsid w:val="0041060B"/>
    <w:rsid w:val="00425865"/>
    <w:rsid w:val="004271C6"/>
    <w:rsid w:val="00435FD0"/>
    <w:rsid w:val="004475DC"/>
    <w:rsid w:val="00460317"/>
    <w:rsid w:val="00467710"/>
    <w:rsid w:val="0047616A"/>
    <w:rsid w:val="00481EE0"/>
    <w:rsid w:val="0048403B"/>
    <w:rsid w:val="004844DF"/>
    <w:rsid w:val="004A13B2"/>
    <w:rsid w:val="004A6C43"/>
    <w:rsid w:val="004E12BB"/>
    <w:rsid w:val="00505503"/>
    <w:rsid w:val="00507D25"/>
    <w:rsid w:val="00526D10"/>
    <w:rsid w:val="005320D3"/>
    <w:rsid w:val="00533D5C"/>
    <w:rsid w:val="005369F3"/>
    <w:rsid w:val="0054520C"/>
    <w:rsid w:val="00555809"/>
    <w:rsid w:val="0056041E"/>
    <w:rsid w:val="00565E52"/>
    <w:rsid w:val="00577165"/>
    <w:rsid w:val="00597382"/>
    <w:rsid w:val="005B0B91"/>
    <w:rsid w:val="005B3F06"/>
    <w:rsid w:val="005D04C0"/>
    <w:rsid w:val="0063531D"/>
    <w:rsid w:val="00660DA3"/>
    <w:rsid w:val="006741D0"/>
    <w:rsid w:val="0068265F"/>
    <w:rsid w:val="00685D4B"/>
    <w:rsid w:val="00690F40"/>
    <w:rsid w:val="006E7AAC"/>
    <w:rsid w:val="007349B5"/>
    <w:rsid w:val="00736AAA"/>
    <w:rsid w:val="007472C4"/>
    <w:rsid w:val="00751073"/>
    <w:rsid w:val="00752C0A"/>
    <w:rsid w:val="007741D5"/>
    <w:rsid w:val="007813A2"/>
    <w:rsid w:val="007A175C"/>
    <w:rsid w:val="007A1C59"/>
    <w:rsid w:val="007E0D87"/>
    <w:rsid w:val="0081008F"/>
    <w:rsid w:val="00811FB8"/>
    <w:rsid w:val="00815575"/>
    <w:rsid w:val="0081747C"/>
    <w:rsid w:val="008560FD"/>
    <w:rsid w:val="008605F0"/>
    <w:rsid w:val="00862902"/>
    <w:rsid w:val="00891C41"/>
    <w:rsid w:val="008930A1"/>
    <w:rsid w:val="008D4F18"/>
    <w:rsid w:val="009015E9"/>
    <w:rsid w:val="00907982"/>
    <w:rsid w:val="00936221"/>
    <w:rsid w:val="00951E35"/>
    <w:rsid w:val="009A45E0"/>
    <w:rsid w:val="009D6F50"/>
    <w:rsid w:val="009E0D14"/>
    <w:rsid w:val="00A14966"/>
    <w:rsid w:val="00A168FB"/>
    <w:rsid w:val="00A22406"/>
    <w:rsid w:val="00A25462"/>
    <w:rsid w:val="00A32595"/>
    <w:rsid w:val="00A63480"/>
    <w:rsid w:val="00A670E3"/>
    <w:rsid w:val="00A7180D"/>
    <w:rsid w:val="00A72769"/>
    <w:rsid w:val="00A83FB7"/>
    <w:rsid w:val="00A90AD7"/>
    <w:rsid w:val="00A93CF9"/>
    <w:rsid w:val="00AB35A9"/>
    <w:rsid w:val="00AE0C2B"/>
    <w:rsid w:val="00B05EE4"/>
    <w:rsid w:val="00B06F68"/>
    <w:rsid w:val="00B14599"/>
    <w:rsid w:val="00B27EBD"/>
    <w:rsid w:val="00B61843"/>
    <w:rsid w:val="00B71254"/>
    <w:rsid w:val="00B73855"/>
    <w:rsid w:val="00B9405D"/>
    <w:rsid w:val="00BA10B5"/>
    <w:rsid w:val="00BA4244"/>
    <w:rsid w:val="00BB19C1"/>
    <w:rsid w:val="00BC4685"/>
    <w:rsid w:val="00BD0E85"/>
    <w:rsid w:val="00BF7883"/>
    <w:rsid w:val="00C24C35"/>
    <w:rsid w:val="00C35DA5"/>
    <w:rsid w:val="00C40BDF"/>
    <w:rsid w:val="00C55368"/>
    <w:rsid w:val="00C734F1"/>
    <w:rsid w:val="00C77499"/>
    <w:rsid w:val="00C9125A"/>
    <w:rsid w:val="00C936CF"/>
    <w:rsid w:val="00CD026E"/>
    <w:rsid w:val="00D30F3F"/>
    <w:rsid w:val="00D36556"/>
    <w:rsid w:val="00D43BDC"/>
    <w:rsid w:val="00D46EF7"/>
    <w:rsid w:val="00D61B48"/>
    <w:rsid w:val="00D84874"/>
    <w:rsid w:val="00D9168A"/>
    <w:rsid w:val="00D95872"/>
    <w:rsid w:val="00DC4014"/>
    <w:rsid w:val="00DC43E6"/>
    <w:rsid w:val="00DC4944"/>
    <w:rsid w:val="00DF5063"/>
    <w:rsid w:val="00E00465"/>
    <w:rsid w:val="00E105A0"/>
    <w:rsid w:val="00E26352"/>
    <w:rsid w:val="00E40AF1"/>
    <w:rsid w:val="00E41BED"/>
    <w:rsid w:val="00E4677A"/>
    <w:rsid w:val="00E50B7B"/>
    <w:rsid w:val="00E64290"/>
    <w:rsid w:val="00E7560F"/>
    <w:rsid w:val="00E90D03"/>
    <w:rsid w:val="00E90F17"/>
    <w:rsid w:val="00EE267A"/>
    <w:rsid w:val="00EE2E9D"/>
    <w:rsid w:val="00EF0476"/>
    <w:rsid w:val="00F109B3"/>
    <w:rsid w:val="00F15862"/>
    <w:rsid w:val="00F255D8"/>
    <w:rsid w:val="00F65DD8"/>
    <w:rsid w:val="00F8770F"/>
    <w:rsid w:val="00FC344A"/>
    <w:rsid w:val="00FD41C8"/>
    <w:rsid w:val="00FD4AD0"/>
    <w:rsid w:val="00FE4A67"/>
    <w:rsid w:val="00FF0035"/>
    <w:rsid w:val="00FF6798"/>
    <w:rsid w:val="191D6C4E"/>
    <w:rsid w:val="4571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14:docId w14:val="09717744"/>
  <w15:docId w15:val="{B63B29DF-97A9-41D7-981A-7A40111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E" w:eastAsia="en-IE"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semiHidden="1"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64"/>
  </w:style>
  <w:style w:type="paragraph" w:styleId="Heading1">
    <w:name w:val="heading 1"/>
    <w:basedOn w:val="Normal"/>
    <w:next w:val="Normal"/>
    <w:link w:val="Heading1Char"/>
    <w:uiPriority w:val="9"/>
    <w:qFormat/>
    <w:rsid w:val="001F4F64"/>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F4F64"/>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F4F64"/>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1F4F64"/>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1F4F64"/>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1F4F64"/>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1F4F64"/>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1F4F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4F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customStyle="1" w:styleId="WPSOfficeManualTable1">
    <w:name w:val="WPSOffice Manual Table 1"/>
  </w:style>
  <w:style w:type="character" w:styleId="CommentReference">
    <w:name w:val="annotation reference"/>
    <w:basedOn w:val="DefaultParagraphFont"/>
    <w:uiPriority w:val="99"/>
    <w:unhideWhenUsed/>
    <w:rsid w:val="00FD41C8"/>
    <w:rPr>
      <w:sz w:val="16"/>
      <w:szCs w:val="16"/>
    </w:rPr>
  </w:style>
  <w:style w:type="paragraph" w:styleId="CommentText">
    <w:name w:val="annotation text"/>
    <w:basedOn w:val="Normal"/>
    <w:link w:val="CommentTextChar"/>
    <w:uiPriority w:val="99"/>
    <w:unhideWhenUsed/>
    <w:rsid w:val="00FD41C8"/>
    <w:pPr>
      <w:spacing w:line="240"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FD41C8"/>
    <w:rPr>
      <w:rFonts w:ascii="Calibri" w:eastAsia="Calibri" w:hAnsi="Calibri" w:cstheme="minorBidi"/>
      <w:lang w:eastAsia="en-US"/>
    </w:rPr>
  </w:style>
  <w:style w:type="character" w:customStyle="1" w:styleId="Heading1Char">
    <w:name w:val="Heading 1 Char"/>
    <w:basedOn w:val="DefaultParagraphFont"/>
    <w:link w:val="Heading1"/>
    <w:uiPriority w:val="9"/>
    <w:rsid w:val="001F4F64"/>
    <w:rPr>
      <w:caps/>
      <w:color w:val="FFFFFF" w:themeColor="background1"/>
      <w:spacing w:val="15"/>
      <w:sz w:val="22"/>
      <w:szCs w:val="22"/>
      <w:shd w:val="clear" w:color="auto" w:fill="AD84C6" w:themeFill="accent1"/>
    </w:rPr>
  </w:style>
  <w:style w:type="character" w:customStyle="1" w:styleId="Heading2Char">
    <w:name w:val="Heading 2 Char"/>
    <w:basedOn w:val="DefaultParagraphFont"/>
    <w:link w:val="Heading2"/>
    <w:uiPriority w:val="9"/>
    <w:rsid w:val="001F4F64"/>
    <w:rPr>
      <w:caps/>
      <w:spacing w:val="15"/>
      <w:shd w:val="clear" w:color="auto" w:fill="EEE6F3" w:themeFill="accent1" w:themeFillTint="33"/>
    </w:rPr>
  </w:style>
  <w:style w:type="character" w:customStyle="1" w:styleId="Heading3Char">
    <w:name w:val="Heading 3 Char"/>
    <w:basedOn w:val="DefaultParagraphFont"/>
    <w:link w:val="Heading3"/>
    <w:uiPriority w:val="9"/>
    <w:rsid w:val="001F4F64"/>
    <w:rPr>
      <w:caps/>
      <w:color w:val="593470" w:themeColor="accent1" w:themeShade="7F"/>
      <w:spacing w:val="15"/>
    </w:rPr>
  </w:style>
  <w:style w:type="character" w:customStyle="1" w:styleId="Heading4Char">
    <w:name w:val="Heading 4 Char"/>
    <w:basedOn w:val="DefaultParagraphFont"/>
    <w:link w:val="Heading4"/>
    <w:uiPriority w:val="9"/>
    <w:semiHidden/>
    <w:rsid w:val="001F4F64"/>
    <w:rPr>
      <w:caps/>
      <w:color w:val="864EA8" w:themeColor="accent1" w:themeShade="BF"/>
      <w:spacing w:val="10"/>
    </w:rPr>
  </w:style>
  <w:style w:type="character" w:customStyle="1" w:styleId="Heading5Char">
    <w:name w:val="Heading 5 Char"/>
    <w:basedOn w:val="DefaultParagraphFont"/>
    <w:link w:val="Heading5"/>
    <w:uiPriority w:val="9"/>
    <w:semiHidden/>
    <w:rsid w:val="001F4F64"/>
    <w:rPr>
      <w:caps/>
      <w:color w:val="864EA8" w:themeColor="accent1" w:themeShade="BF"/>
      <w:spacing w:val="10"/>
    </w:rPr>
  </w:style>
  <w:style w:type="character" w:customStyle="1" w:styleId="Heading6Char">
    <w:name w:val="Heading 6 Char"/>
    <w:basedOn w:val="DefaultParagraphFont"/>
    <w:link w:val="Heading6"/>
    <w:uiPriority w:val="9"/>
    <w:semiHidden/>
    <w:rsid w:val="001F4F64"/>
    <w:rPr>
      <w:caps/>
      <w:color w:val="864EA8" w:themeColor="accent1" w:themeShade="BF"/>
      <w:spacing w:val="10"/>
    </w:rPr>
  </w:style>
  <w:style w:type="character" w:customStyle="1" w:styleId="Heading7Char">
    <w:name w:val="Heading 7 Char"/>
    <w:basedOn w:val="DefaultParagraphFont"/>
    <w:link w:val="Heading7"/>
    <w:uiPriority w:val="9"/>
    <w:semiHidden/>
    <w:rsid w:val="001F4F64"/>
    <w:rPr>
      <w:caps/>
      <w:color w:val="864EA8" w:themeColor="accent1" w:themeShade="BF"/>
      <w:spacing w:val="10"/>
    </w:rPr>
  </w:style>
  <w:style w:type="character" w:customStyle="1" w:styleId="Heading8Char">
    <w:name w:val="Heading 8 Char"/>
    <w:basedOn w:val="DefaultParagraphFont"/>
    <w:link w:val="Heading8"/>
    <w:uiPriority w:val="9"/>
    <w:semiHidden/>
    <w:rsid w:val="001F4F64"/>
    <w:rPr>
      <w:caps/>
      <w:spacing w:val="10"/>
      <w:sz w:val="18"/>
      <w:szCs w:val="18"/>
    </w:rPr>
  </w:style>
  <w:style w:type="character" w:customStyle="1" w:styleId="Heading9Char">
    <w:name w:val="Heading 9 Char"/>
    <w:basedOn w:val="DefaultParagraphFont"/>
    <w:link w:val="Heading9"/>
    <w:uiPriority w:val="9"/>
    <w:semiHidden/>
    <w:rsid w:val="001F4F64"/>
    <w:rPr>
      <w:i/>
      <w:iCs/>
      <w:caps/>
      <w:spacing w:val="10"/>
      <w:sz w:val="18"/>
      <w:szCs w:val="18"/>
    </w:rPr>
  </w:style>
  <w:style w:type="paragraph" w:styleId="Caption">
    <w:name w:val="caption"/>
    <w:basedOn w:val="Normal"/>
    <w:next w:val="Normal"/>
    <w:uiPriority w:val="35"/>
    <w:semiHidden/>
    <w:unhideWhenUsed/>
    <w:qFormat/>
    <w:rsid w:val="001F4F64"/>
    <w:rPr>
      <w:b/>
      <w:bCs/>
      <w:color w:val="864EA8" w:themeColor="accent1" w:themeShade="BF"/>
      <w:sz w:val="16"/>
      <w:szCs w:val="16"/>
    </w:rPr>
  </w:style>
  <w:style w:type="paragraph" w:styleId="Title">
    <w:name w:val="Title"/>
    <w:basedOn w:val="Normal"/>
    <w:next w:val="Normal"/>
    <w:link w:val="TitleChar"/>
    <w:uiPriority w:val="10"/>
    <w:qFormat/>
    <w:rsid w:val="001F4F64"/>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1F4F64"/>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1F4F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4F64"/>
    <w:rPr>
      <w:caps/>
      <w:color w:val="595959" w:themeColor="text1" w:themeTint="A6"/>
      <w:spacing w:val="10"/>
      <w:sz w:val="21"/>
      <w:szCs w:val="21"/>
    </w:rPr>
  </w:style>
  <w:style w:type="character" w:styleId="Strong">
    <w:name w:val="Strong"/>
    <w:uiPriority w:val="22"/>
    <w:qFormat/>
    <w:rsid w:val="001F4F64"/>
    <w:rPr>
      <w:b/>
      <w:bCs/>
    </w:rPr>
  </w:style>
  <w:style w:type="character" w:styleId="Emphasis">
    <w:name w:val="Emphasis"/>
    <w:uiPriority w:val="20"/>
    <w:qFormat/>
    <w:rsid w:val="001F4F64"/>
    <w:rPr>
      <w:caps/>
      <w:color w:val="593470" w:themeColor="accent1" w:themeShade="7F"/>
      <w:spacing w:val="5"/>
    </w:rPr>
  </w:style>
  <w:style w:type="paragraph" w:styleId="NoSpacing">
    <w:name w:val="No Spacing"/>
    <w:uiPriority w:val="1"/>
    <w:qFormat/>
    <w:rsid w:val="001F4F64"/>
    <w:pPr>
      <w:spacing w:after="0" w:line="240" w:lineRule="auto"/>
    </w:pPr>
  </w:style>
  <w:style w:type="paragraph" w:styleId="Quote">
    <w:name w:val="Quote"/>
    <w:basedOn w:val="Normal"/>
    <w:next w:val="Normal"/>
    <w:link w:val="QuoteChar"/>
    <w:uiPriority w:val="29"/>
    <w:qFormat/>
    <w:rsid w:val="001F4F64"/>
    <w:rPr>
      <w:i/>
      <w:iCs/>
      <w:sz w:val="24"/>
      <w:szCs w:val="24"/>
    </w:rPr>
  </w:style>
  <w:style w:type="character" w:customStyle="1" w:styleId="QuoteChar">
    <w:name w:val="Quote Char"/>
    <w:basedOn w:val="DefaultParagraphFont"/>
    <w:link w:val="Quote"/>
    <w:uiPriority w:val="29"/>
    <w:rsid w:val="001F4F64"/>
    <w:rPr>
      <w:i/>
      <w:iCs/>
      <w:sz w:val="24"/>
      <w:szCs w:val="24"/>
    </w:rPr>
  </w:style>
  <w:style w:type="paragraph" w:styleId="IntenseQuote">
    <w:name w:val="Intense Quote"/>
    <w:basedOn w:val="Normal"/>
    <w:next w:val="Normal"/>
    <w:link w:val="IntenseQuoteChar"/>
    <w:uiPriority w:val="30"/>
    <w:qFormat/>
    <w:rsid w:val="001F4F64"/>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1F4F64"/>
    <w:rPr>
      <w:color w:val="AD84C6" w:themeColor="accent1"/>
      <w:sz w:val="24"/>
      <w:szCs w:val="24"/>
    </w:rPr>
  </w:style>
  <w:style w:type="character" w:styleId="SubtleEmphasis">
    <w:name w:val="Subtle Emphasis"/>
    <w:uiPriority w:val="19"/>
    <w:qFormat/>
    <w:rsid w:val="001F4F64"/>
    <w:rPr>
      <w:i/>
      <w:iCs/>
      <w:color w:val="593470" w:themeColor="accent1" w:themeShade="7F"/>
    </w:rPr>
  </w:style>
  <w:style w:type="character" w:styleId="IntenseEmphasis">
    <w:name w:val="Intense Emphasis"/>
    <w:uiPriority w:val="21"/>
    <w:qFormat/>
    <w:rsid w:val="001F4F64"/>
    <w:rPr>
      <w:b/>
      <w:bCs/>
      <w:caps/>
      <w:color w:val="593470" w:themeColor="accent1" w:themeShade="7F"/>
      <w:spacing w:val="10"/>
    </w:rPr>
  </w:style>
  <w:style w:type="character" w:styleId="SubtleReference">
    <w:name w:val="Subtle Reference"/>
    <w:uiPriority w:val="31"/>
    <w:qFormat/>
    <w:rsid w:val="001F4F64"/>
    <w:rPr>
      <w:b/>
      <w:bCs/>
      <w:color w:val="AD84C6" w:themeColor="accent1"/>
    </w:rPr>
  </w:style>
  <w:style w:type="character" w:styleId="IntenseReference">
    <w:name w:val="Intense Reference"/>
    <w:uiPriority w:val="32"/>
    <w:qFormat/>
    <w:rsid w:val="001F4F64"/>
    <w:rPr>
      <w:b/>
      <w:bCs/>
      <w:i/>
      <w:iCs/>
      <w:caps/>
      <w:color w:val="AD84C6" w:themeColor="accent1"/>
    </w:rPr>
  </w:style>
  <w:style w:type="character" w:styleId="BookTitle">
    <w:name w:val="Book Title"/>
    <w:uiPriority w:val="33"/>
    <w:qFormat/>
    <w:rsid w:val="001F4F64"/>
    <w:rPr>
      <w:b/>
      <w:bCs/>
      <w:i/>
      <w:iCs/>
      <w:spacing w:val="0"/>
    </w:rPr>
  </w:style>
  <w:style w:type="paragraph" w:styleId="TOCHeading">
    <w:name w:val="TOC Heading"/>
    <w:basedOn w:val="Heading1"/>
    <w:next w:val="Normal"/>
    <w:uiPriority w:val="39"/>
    <w:unhideWhenUsed/>
    <w:qFormat/>
    <w:rsid w:val="001F4F64"/>
    <w:pPr>
      <w:outlineLvl w:val="9"/>
    </w:pPr>
  </w:style>
  <w:style w:type="paragraph" w:styleId="BalloonText">
    <w:name w:val="Balloon Text"/>
    <w:basedOn w:val="Normal"/>
    <w:link w:val="BalloonTextChar"/>
    <w:rsid w:val="00FD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41C8"/>
    <w:rPr>
      <w:rFonts w:ascii="Segoe UI" w:hAnsi="Segoe UI" w:cs="Segoe UI"/>
      <w:sz w:val="18"/>
      <w:szCs w:val="18"/>
    </w:rPr>
  </w:style>
  <w:style w:type="paragraph" w:styleId="TOC1">
    <w:name w:val="toc 1"/>
    <w:basedOn w:val="Normal"/>
    <w:next w:val="Normal"/>
    <w:autoRedefine/>
    <w:uiPriority w:val="39"/>
    <w:rsid w:val="00FD41C8"/>
    <w:pPr>
      <w:spacing w:after="100"/>
    </w:pPr>
  </w:style>
  <w:style w:type="character" w:styleId="Hyperlink">
    <w:name w:val="Hyperlink"/>
    <w:basedOn w:val="DefaultParagraphFont"/>
    <w:uiPriority w:val="99"/>
    <w:unhideWhenUsed/>
    <w:rsid w:val="00FD41C8"/>
    <w:rPr>
      <w:color w:val="69A020" w:themeColor="hyperlink"/>
      <w:u w:val="single"/>
    </w:rPr>
  </w:style>
  <w:style w:type="paragraph" w:styleId="FootnoteText">
    <w:name w:val="footnote text"/>
    <w:basedOn w:val="Normal"/>
    <w:link w:val="FootnoteTextChar"/>
    <w:rsid w:val="00E26352"/>
    <w:pPr>
      <w:spacing w:after="0" w:line="240" w:lineRule="auto"/>
    </w:pPr>
  </w:style>
  <w:style w:type="character" w:customStyle="1" w:styleId="FootnoteTextChar">
    <w:name w:val="Footnote Text Char"/>
    <w:basedOn w:val="DefaultParagraphFont"/>
    <w:link w:val="FootnoteText"/>
    <w:rsid w:val="00E26352"/>
    <w:rPr>
      <w:sz w:val="20"/>
      <w:szCs w:val="20"/>
    </w:rPr>
  </w:style>
  <w:style w:type="character" w:styleId="FootnoteReference">
    <w:name w:val="footnote reference"/>
    <w:aliases w:val="Footnote symbol,Times 10 Point,Exposant 3 Point,DJEI_Footnote Reference,Footnote Reference (EKOS),EN Footnote Reference,Footnote Reference Superscript,Footnote number,Footnote Reference Number,Footnote reference number,note TESI,fr,FR"/>
    <w:basedOn w:val="DefaultParagraphFont"/>
    <w:unhideWhenUsed/>
    <w:rsid w:val="00E26352"/>
    <w:rPr>
      <w:vertAlign w:val="superscript"/>
    </w:rPr>
  </w:style>
  <w:style w:type="paragraph" w:styleId="ListParagraph">
    <w:name w:val="List Paragraph"/>
    <w:basedOn w:val="Normal"/>
    <w:uiPriority w:val="1"/>
    <w:qFormat/>
    <w:rsid w:val="00A7180D"/>
    <w:pPr>
      <w:ind w:left="720"/>
      <w:contextualSpacing/>
    </w:pPr>
  </w:style>
  <w:style w:type="character" w:customStyle="1" w:styleId="FooterChar">
    <w:name w:val="Footer Char"/>
    <w:basedOn w:val="DefaultParagraphFont"/>
    <w:link w:val="Footer"/>
    <w:uiPriority w:val="99"/>
    <w:rsid w:val="00180D0F"/>
    <w:rPr>
      <w:sz w:val="18"/>
      <w:szCs w:val="18"/>
    </w:rPr>
  </w:style>
  <w:style w:type="paragraph" w:styleId="CommentSubject">
    <w:name w:val="annotation subject"/>
    <w:basedOn w:val="CommentText"/>
    <w:next w:val="CommentText"/>
    <w:link w:val="CommentSubjectChar"/>
    <w:rsid w:val="00752C0A"/>
    <w:rPr>
      <w:rFonts w:asciiTheme="minorHAnsi" w:eastAsiaTheme="minorEastAsia" w:hAnsiTheme="minorHAnsi"/>
      <w:b/>
      <w:bCs/>
      <w:lang w:eastAsia="en-IE"/>
    </w:rPr>
  </w:style>
  <w:style w:type="character" w:customStyle="1" w:styleId="CommentSubjectChar">
    <w:name w:val="Comment Subject Char"/>
    <w:basedOn w:val="CommentTextChar"/>
    <w:link w:val="CommentSubject"/>
    <w:rsid w:val="00752C0A"/>
    <w:rPr>
      <w:rFonts w:ascii="Calibri" w:eastAsia="Calibri" w:hAnsi="Calibri" w:cstheme="minorBidi"/>
      <w:b/>
      <w:bCs/>
      <w:lang w:eastAsia="en-US"/>
    </w:rPr>
  </w:style>
  <w:style w:type="paragraph" w:styleId="EndnoteText">
    <w:name w:val="endnote text"/>
    <w:basedOn w:val="Normal"/>
    <w:link w:val="EndnoteTextChar"/>
    <w:rsid w:val="00046C78"/>
    <w:pPr>
      <w:spacing w:before="0" w:after="0" w:line="240" w:lineRule="auto"/>
    </w:pPr>
  </w:style>
  <w:style w:type="character" w:customStyle="1" w:styleId="EndnoteTextChar">
    <w:name w:val="Endnote Text Char"/>
    <w:basedOn w:val="DefaultParagraphFont"/>
    <w:link w:val="EndnoteText"/>
    <w:rsid w:val="00046C78"/>
  </w:style>
  <w:style w:type="character" w:styleId="EndnoteReference">
    <w:name w:val="endnote reference"/>
    <w:basedOn w:val="DefaultParagraphFont"/>
    <w:rsid w:val="00046C78"/>
    <w:rPr>
      <w:vertAlign w:val="superscript"/>
    </w:rPr>
  </w:style>
  <w:style w:type="character" w:styleId="FollowedHyperlink">
    <w:name w:val="FollowedHyperlink"/>
    <w:basedOn w:val="DefaultParagraphFont"/>
    <w:rsid w:val="0048403B"/>
    <w:rPr>
      <w:color w:val="8C8C8C" w:themeColor="followedHyperlink"/>
      <w:u w:val="single"/>
    </w:rPr>
  </w:style>
  <w:style w:type="character" w:customStyle="1" w:styleId="UnresolvedMention">
    <w:name w:val="Unresolved Mention"/>
    <w:basedOn w:val="DefaultParagraphFont"/>
    <w:uiPriority w:val="99"/>
    <w:semiHidden/>
    <w:unhideWhenUsed/>
    <w:rsid w:val="00EE267A"/>
    <w:rPr>
      <w:color w:val="605E5C"/>
      <w:shd w:val="clear" w:color="auto" w:fill="E1DFDD"/>
    </w:rPr>
  </w:style>
  <w:style w:type="table" w:styleId="TableGrid">
    <w:name w:val="Table Grid"/>
    <w:basedOn w:val="TableNormal"/>
    <w:rsid w:val="00C936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90F40"/>
    <w:pPr>
      <w:spacing w:after="100"/>
      <w:ind w:left="200"/>
    </w:pPr>
  </w:style>
  <w:style w:type="paragraph" w:styleId="BodyText">
    <w:name w:val="Body Text"/>
    <w:basedOn w:val="Normal"/>
    <w:link w:val="BodyTextChar"/>
    <w:uiPriority w:val="1"/>
    <w:qFormat/>
    <w:rsid w:val="007741D5"/>
    <w:pPr>
      <w:widowControl w:val="0"/>
      <w:autoSpaceDE w:val="0"/>
      <w:autoSpaceDN w:val="0"/>
      <w:spacing w:before="0"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7741D5"/>
    <w:rPr>
      <w:rFonts w:ascii="Arial" w:eastAsia="Arial" w:hAnsi="Arial" w:cs="Arial"/>
      <w:lang w:val="en-US" w:eastAsia="en-US"/>
    </w:rPr>
  </w:style>
  <w:style w:type="paragraph" w:customStyle="1" w:styleId="TableParagraph">
    <w:name w:val="Table Paragraph"/>
    <w:basedOn w:val="Normal"/>
    <w:uiPriority w:val="1"/>
    <w:qFormat/>
    <w:rsid w:val="007741D5"/>
    <w:pPr>
      <w:widowControl w:val="0"/>
      <w:autoSpaceDE w:val="0"/>
      <w:autoSpaceDN w:val="0"/>
      <w:spacing w:before="0" w:after="0" w:line="240" w:lineRule="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1722">
      <w:bodyDiv w:val="1"/>
      <w:marLeft w:val="0"/>
      <w:marRight w:val="0"/>
      <w:marTop w:val="0"/>
      <w:marBottom w:val="0"/>
      <w:divBdr>
        <w:top w:val="none" w:sz="0" w:space="0" w:color="auto"/>
        <w:left w:val="none" w:sz="0" w:space="0" w:color="auto"/>
        <w:bottom w:val="none" w:sz="0" w:space="0" w:color="auto"/>
        <w:right w:val="none" w:sz="0" w:space="0" w:color="auto"/>
      </w:divBdr>
    </w:div>
    <w:div w:id="33904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po.ie/en/Codes-of-Conduct/Civil-Servants/Civil-Service-Code-of-Standard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usla.ie/children-first/children-first-e-learning-program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sla.ie/children-first/children-first-e-learning-program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po.ie/en/Codes-of-Conduct/Civil-Servants/Civil-Service-Code-of-Standards.pdf" TargetMode="External"/></Relationships>
</file>

<file path=word/theme/theme1.xml><?xml version="1.0" encoding="utf-8"?>
<a:theme xmlns:a="http://schemas.openxmlformats.org/drawingml/2006/main" name="Office 主题">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3A8C1-974A-413E-8C09-BA18F4FE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1520</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lllha</dc:creator>
  <cp:lastModifiedBy>Paddy O'Keeffe (TAC)</cp:lastModifiedBy>
  <cp:revision>15</cp:revision>
  <cp:lastPrinted>2019-10-18T11:10:00Z</cp:lastPrinted>
  <dcterms:created xsi:type="dcterms:W3CDTF">2020-08-11T13:31:00Z</dcterms:created>
  <dcterms:modified xsi:type="dcterms:W3CDTF">2020-08-19T10:09:00Z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